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04DB98">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20" w:name="_GoBack"/>
      <w:bookmarkEnd w:id="20"/>
      <w:r>
        <w:drawing>
          <wp:anchor distT="0" distB="0" distL="114300" distR="114300" simplePos="0" relativeHeight="251663360" behindDoc="1" locked="0" layoutInCell="1" allowOverlap="1">
            <wp:simplePos x="0" y="0"/>
            <wp:positionH relativeFrom="column">
              <wp:posOffset>-1164590</wp:posOffset>
            </wp:positionH>
            <wp:positionV relativeFrom="paragraph">
              <wp:posOffset>-978535</wp:posOffset>
            </wp:positionV>
            <wp:extent cx="7665720" cy="10866120"/>
            <wp:effectExtent l="0" t="0" r="11430" b="1143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tretch>
                      <a:fillRect/>
                    </a:stretch>
                  </pic:blipFill>
                  <pic:spPr>
                    <a:xfrm>
                      <a:off x="0" y="0"/>
                      <a:ext cx="7665720" cy="10866120"/>
                    </a:xfrm>
                    <a:prstGeom prst="rect">
                      <a:avLst/>
                    </a:prstGeom>
                    <a:noFill/>
                    <a:ln>
                      <a:noFill/>
                    </a:ln>
                  </pic:spPr>
                </pic:pic>
              </a:graphicData>
            </a:graphic>
          </wp:anchor>
        </w:drawing>
      </w:r>
      <w:r>
        <w:rPr>
          <w:sz w:val="21"/>
        </w:rPr>
        <mc:AlternateContent>
          <mc:Choice Requires="wps">
            <w:drawing>
              <wp:anchor distT="0" distB="0" distL="114300" distR="114300" simplePos="0" relativeHeight="251664384" behindDoc="0" locked="0" layoutInCell="1" allowOverlap="1">
                <wp:simplePos x="0" y="0"/>
                <wp:positionH relativeFrom="column">
                  <wp:posOffset>-46355</wp:posOffset>
                </wp:positionH>
                <wp:positionV relativeFrom="paragraph">
                  <wp:posOffset>6225540</wp:posOffset>
                </wp:positionV>
                <wp:extent cx="5123180" cy="2019300"/>
                <wp:effectExtent l="0" t="0" r="0" b="0"/>
                <wp:wrapNone/>
                <wp:docPr id="14" name="文本框 14"/>
                <wp:cNvGraphicFramePr/>
                <a:graphic xmlns:a="http://schemas.openxmlformats.org/drawingml/2006/main">
                  <a:graphicData uri="http://schemas.microsoft.com/office/word/2010/wordprocessingShape">
                    <wps:wsp>
                      <wps:cNvSpPr txBox="1"/>
                      <wps:spPr>
                        <a:xfrm rot="19560000">
                          <a:off x="0" y="0"/>
                          <a:ext cx="5123180" cy="2019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5D30D">
                            <w:pPr>
                              <w:pStyle w:val="8"/>
                              <w:keepNext w:val="0"/>
                              <w:keepLines w:val="0"/>
                              <w:widowControl/>
                              <w:suppressLineNumbers w:val="0"/>
                              <w:kinsoku/>
                              <w:wordWrap/>
                              <w:overflowPunct/>
                              <w:bidi w:val="0"/>
                              <w:spacing w:before="0" w:beforeAutospacing="0" w:after="0" w:afterAutospacing="0"/>
                              <w:ind w:left="0"/>
                              <w:jc w:val="distribute"/>
                              <w:rPr>
                                <w:color w:val="F2F2F2" w:themeColor="background1" w:themeShade="F2"/>
                                <w:sz w:val="16"/>
                                <w:szCs w:val="16"/>
                              </w:rPr>
                            </w:pPr>
                            <w:r>
                              <w:rPr>
                                <w:rFonts w:ascii="微软雅黑" w:hAnsi="微软雅黑" w:eastAsia="微软雅黑" w:cs="mn-cs"/>
                                <w:color w:val="F2F2F2" w:themeColor="background1" w:themeShade="F2"/>
                                <w:kern w:val="24"/>
                                <w:sz w:val="44"/>
                                <w:szCs w:val="44"/>
                              </w:rPr>
                              <w:t xml:space="preserve"> </w:t>
                            </w:r>
                          </w:p>
                          <w:p w14:paraId="36435171">
                            <w:pPr>
                              <w:jc w:val="right"/>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pPr>
                            <w:r>
                              <w:rPr>
                                <w:rFonts w:hint="eastAsia" w:ascii="微软雅黑" w:hAnsi="微软雅黑" w:eastAsia="微软雅黑" w:cs="mn-cs"/>
                                <w:b/>
                                <w:bCs/>
                                <w:color w:val="FFFFFF" w:themeColor="background1"/>
                                <w:kern w:val="24"/>
                                <w:sz w:val="44"/>
                                <w:szCs w:val="44"/>
                                <w14:textFill>
                                  <w14:solidFill>
                                    <w14:schemeClr w14:val="bg1"/>
                                  </w14:solidFill>
                                </w14:textFill>
                              </w:rPr>
                              <w:t>JIYUAN</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w:t>
                            </w:r>
                            <w:r>
                              <w:rPr>
                                <w:rFonts w:hint="eastAsia" w:ascii="微软雅黑" w:hAnsi="微软雅黑" w:eastAsia="微软雅黑" w:cs="mn-cs"/>
                                <w:b/>
                                <w:bCs/>
                                <w:color w:val="FFFFFF" w:themeColor="background1"/>
                                <w:kern w:val="24"/>
                                <w:sz w:val="44"/>
                                <w:szCs w:val="44"/>
                                <w14:textFill>
                                  <w14:solidFill>
                                    <w14:schemeClr w14:val="bg1"/>
                                  </w14:solidFill>
                                </w14:textFill>
                              </w:rPr>
                              <w:t>VOCATIONAL</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w:t>
                            </w:r>
                            <w:r>
                              <w:rPr>
                                <w:rFonts w:hint="eastAsia" w:ascii="微软雅黑" w:hAnsi="微软雅黑" w:eastAsia="微软雅黑" w:cs="mn-cs"/>
                                <w:b/>
                                <w:bCs/>
                                <w:color w:val="FFFFFF" w:themeColor="background1"/>
                                <w:kern w:val="24"/>
                                <w:sz w:val="44"/>
                                <w:szCs w:val="44"/>
                                <w14:textFill>
                                  <w14:solidFill>
                                    <w14:schemeClr w14:val="bg1"/>
                                  </w14:solidFill>
                                </w14:textFill>
                              </w:rPr>
                              <w:t>AND</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w:t>
                            </w:r>
                            <w:r>
                              <w:rPr>
                                <w:rFonts w:hint="eastAsia" w:ascii="微软雅黑" w:hAnsi="微软雅黑" w:eastAsia="微软雅黑" w:cs="mn-cs"/>
                                <w:b/>
                                <w:bCs/>
                                <w:color w:val="FFFFFF" w:themeColor="background1"/>
                                <w:kern w:val="24"/>
                                <w:sz w:val="44"/>
                                <w:szCs w:val="44"/>
                                <w14:textFill>
                                  <w14:solidFill>
                                    <w14:schemeClr w14:val="bg1"/>
                                  </w14:solidFill>
                                </w14:textFill>
                              </w:rPr>
                              <w:t>TECHNICAL</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w:t>
                            </w:r>
                            <w:r>
                              <w:rPr>
                                <w:rFonts w:hint="eastAsia" w:ascii="微软雅黑" w:hAnsi="微软雅黑" w:eastAsia="微软雅黑" w:cs="mn-cs"/>
                                <w:b/>
                                <w:bCs/>
                                <w:color w:val="FFFFFF" w:themeColor="background1"/>
                                <w:kern w:val="24"/>
                                <w:sz w:val="44"/>
                                <w:szCs w:val="44"/>
                                <w14:textFill>
                                  <w14:solidFill>
                                    <w14:schemeClr w14:val="bg1"/>
                                  </w14:solidFill>
                                </w14:textFill>
                              </w:rPr>
                              <w:t>COLLEGE</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LIBRARY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490.2pt;height:159pt;width:403.4pt;rotation:-2228224f;z-index:251664384;mso-width-relative:page;mso-height-relative:page;" filled="f" stroked="f" coordsize="21600,21600" o:gfxdata="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6rjbAAAACwEAAA8AAAAAAAAAAQAg&#10;AAAAIgAAAGRycy9kb3ducmV2LnhtbFBLAQIUABQAAAAIAIdO4kBAhsFSRAIAAHgEAAAOAAAAAAAA&#10;AAEAIAAAACoBAABkcnMvZTJvRG9jLnhtbFBLBQYAAAAABgAGAFkBAADgBQAAAAA=&#10;">
                <v:fill on="f" focussize="0,0"/>
                <v:stroke on="f" weight="0.5pt"/>
                <v:imagedata o:title=""/>
                <o:lock v:ext="edit" aspectratio="f"/>
                <v:textbox>
                  <w:txbxContent>
                    <w:p w14:paraId="2FA5D30D">
                      <w:pPr>
                        <w:pStyle w:val="8"/>
                        <w:keepNext w:val="0"/>
                        <w:keepLines w:val="0"/>
                        <w:widowControl/>
                        <w:suppressLineNumbers w:val="0"/>
                        <w:kinsoku/>
                        <w:wordWrap/>
                        <w:overflowPunct/>
                        <w:bidi w:val="0"/>
                        <w:spacing w:before="0" w:beforeAutospacing="0" w:after="0" w:afterAutospacing="0"/>
                        <w:ind w:left="0"/>
                        <w:jc w:val="distribute"/>
                        <w:rPr>
                          <w:color w:val="F2F2F2" w:themeColor="background1" w:themeShade="F2"/>
                          <w:sz w:val="16"/>
                          <w:szCs w:val="16"/>
                        </w:rPr>
                      </w:pPr>
                      <w:r>
                        <w:rPr>
                          <w:rFonts w:ascii="微软雅黑" w:hAnsi="微软雅黑" w:eastAsia="微软雅黑" w:cs="mn-cs"/>
                          <w:color w:val="F2F2F2" w:themeColor="background1" w:themeShade="F2"/>
                          <w:kern w:val="24"/>
                          <w:sz w:val="44"/>
                          <w:szCs w:val="44"/>
                        </w:rPr>
                        <w:t xml:space="preserve"> </w:t>
                      </w:r>
                    </w:p>
                    <w:p w14:paraId="36435171">
                      <w:pPr>
                        <w:jc w:val="right"/>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pPr>
                      <w:r>
                        <w:rPr>
                          <w:rFonts w:hint="eastAsia" w:ascii="微软雅黑" w:hAnsi="微软雅黑" w:eastAsia="微软雅黑" w:cs="mn-cs"/>
                          <w:b/>
                          <w:bCs/>
                          <w:color w:val="FFFFFF" w:themeColor="background1"/>
                          <w:kern w:val="24"/>
                          <w:sz w:val="44"/>
                          <w:szCs w:val="44"/>
                          <w14:textFill>
                            <w14:solidFill>
                              <w14:schemeClr w14:val="bg1"/>
                            </w14:solidFill>
                          </w14:textFill>
                        </w:rPr>
                        <w:t>JIYUAN</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w:t>
                      </w:r>
                      <w:r>
                        <w:rPr>
                          <w:rFonts w:hint="eastAsia" w:ascii="微软雅黑" w:hAnsi="微软雅黑" w:eastAsia="微软雅黑" w:cs="mn-cs"/>
                          <w:b/>
                          <w:bCs/>
                          <w:color w:val="FFFFFF" w:themeColor="background1"/>
                          <w:kern w:val="24"/>
                          <w:sz w:val="44"/>
                          <w:szCs w:val="44"/>
                          <w14:textFill>
                            <w14:solidFill>
                              <w14:schemeClr w14:val="bg1"/>
                            </w14:solidFill>
                          </w14:textFill>
                        </w:rPr>
                        <w:t>VOCATIONAL</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w:t>
                      </w:r>
                      <w:r>
                        <w:rPr>
                          <w:rFonts w:hint="eastAsia" w:ascii="微软雅黑" w:hAnsi="微软雅黑" w:eastAsia="微软雅黑" w:cs="mn-cs"/>
                          <w:b/>
                          <w:bCs/>
                          <w:color w:val="FFFFFF" w:themeColor="background1"/>
                          <w:kern w:val="24"/>
                          <w:sz w:val="44"/>
                          <w:szCs w:val="44"/>
                          <w14:textFill>
                            <w14:solidFill>
                              <w14:schemeClr w14:val="bg1"/>
                            </w14:solidFill>
                          </w14:textFill>
                        </w:rPr>
                        <w:t>AND</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w:t>
                      </w:r>
                      <w:r>
                        <w:rPr>
                          <w:rFonts w:hint="eastAsia" w:ascii="微软雅黑" w:hAnsi="微软雅黑" w:eastAsia="微软雅黑" w:cs="mn-cs"/>
                          <w:b/>
                          <w:bCs/>
                          <w:color w:val="FFFFFF" w:themeColor="background1"/>
                          <w:kern w:val="24"/>
                          <w:sz w:val="44"/>
                          <w:szCs w:val="44"/>
                          <w14:textFill>
                            <w14:solidFill>
                              <w14:schemeClr w14:val="bg1"/>
                            </w14:solidFill>
                          </w14:textFill>
                        </w:rPr>
                        <w:t>TECHNICAL</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w:t>
                      </w:r>
                      <w:r>
                        <w:rPr>
                          <w:rFonts w:hint="eastAsia" w:ascii="微软雅黑" w:hAnsi="微软雅黑" w:eastAsia="微软雅黑" w:cs="mn-cs"/>
                          <w:b/>
                          <w:bCs/>
                          <w:color w:val="FFFFFF" w:themeColor="background1"/>
                          <w:kern w:val="24"/>
                          <w:sz w:val="44"/>
                          <w:szCs w:val="44"/>
                          <w14:textFill>
                            <w14:solidFill>
                              <w14:schemeClr w14:val="bg1"/>
                            </w14:solidFill>
                          </w14:textFill>
                        </w:rPr>
                        <w:t>COLLEGE</w:t>
                      </w: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 xml:space="preserve"> LIBRARY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-1160780</wp:posOffset>
                </wp:positionH>
                <wp:positionV relativeFrom="paragraph">
                  <wp:posOffset>5435600</wp:posOffset>
                </wp:positionV>
                <wp:extent cx="2861310" cy="839470"/>
                <wp:effectExtent l="0" t="0" r="0" b="0"/>
                <wp:wrapNone/>
                <wp:docPr id="10" name="文本框 10"/>
                <wp:cNvGraphicFramePr/>
                <a:graphic xmlns:a="http://schemas.openxmlformats.org/drawingml/2006/main">
                  <a:graphicData uri="http://schemas.microsoft.com/office/word/2010/wordprocessingShape">
                    <wps:wsp>
                      <wps:cNvSpPr txBox="1"/>
                      <wps:spPr>
                        <a:xfrm rot="19500000">
                          <a:off x="0" y="0"/>
                          <a:ext cx="2861310" cy="839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D5477">
                            <w:pPr>
                              <w:wordWrap w:val="0"/>
                              <w:jc w:val="right"/>
                              <w:rPr>
                                <w:rFonts w:hint="default" w:eastAsia="方正仿宋_GB2312"/>
                                <w:b/>
                                <w:bCs/>
                                <w:color w:val="FFFFFF" w:themeColor="background1"/>
                                <w:sz w:val="20"/>
                                <w:szCs w:val="22"/>
                                <w:lang w:val="en-US" w:eastAsia="zh-CN"/>
                                <w14:textFill>
                                  <w14:solidFill>
                                    <w14:schemeClr w14:val="bg1"/>
                                  </w14:solidFill>
                                </w14:textFill>
                              </w:rPr>
                            </w:pP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ANNUAL REPORT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4pt;margin-top:428pt;height:66.1pt;width:225.3pt;rotation:-2293760f;z-index:251662336;mso-width-relative:page;mso-height-relative:page;" filled="f" stroked="f" coordsize="21600,21600" o:gfxdata="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fO+JDeAAAADAEAAA8AAAAAAAAA&#10;AQAgAAAAIgAAAGRycy9kb3ducmV2LnhtbFBLAQIUABQAAAAIAIdO4kC/tD84RAIAAHcEAAAOAAAA&#10;AAAAAAEAIAAAAC0BAABkcnMvZTJvRG9jLnhtbFBLBQYAAAAABgAGAFkBAADjBQAAAAA=&#10;">
                <v:fill on="f" focussize="0,0"/>
                <v:stroke on="f" weight="0.5pt"/>
                <v:imagedata o:title=""/>
                <o:lock v:ext="edit" aspectratio="f"/>
                <v:textbox>
                  <w:txbxContent>
                    <w:p w14:paraId="513D5477">
                      <w:pPr>
                        <w:wordWrap w:val="0"/>
                        <w:jc w:val="right"/>
                        <w:rPr>
                          <w:rFonts w:hint="default" w:eastAsia="方正仿宋_GB2312"/>
                          <w:b/>
                          <w:bCs/>
                          <w:color w:val="FFFFFF" w:themeColor="background1"/>
                          <w:sz w:val="20"/>
                          <w:szCs w:val="22"/>
                          <w:lang w:val="en-US" w:eastAsia="zh-CN"/>
                          <w14:textFill>
                            <w14:solidFill>
                              <w14:schemeClr w14:val="bg1"/>
                            </w14:solidFill>
                          </w14:textFill>
                        </w:rPr>
                      </w:pPr>
                      <w:r>
                        <w:rPr>
                          <w:rFonts w:hint="eastAsia" w:ascii="微软雅黑" w:hAnsi="微软雅黑" w:eastAsia="微软雅黑" w:cs="mn-cs"/>
                          <w:b/>
                          <w:bCs/>
                          <w:color w:val="FFFFFF" w:themeColor="background1"/>
                          <w:kern w:val="24"/>
                          <w:sz w:val="44"/>
                          <w:szCs w:val="44"/>
                          <w:lang w:val="en-US" w:eastAsia="zh-CN"/>
                          <w14:textFill>
                            <w14:solidFill>
                              <w14:schemeClr w14:val="bg1"/>
                            </w14:solidFill>
                          </w14:textFill>
                        </w:rPr>
                        <w:t>ANNUAL REPORT</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1570355</wp:posOffset>
                </wp:positionH>
                <wp:positionV relativeFrom="paragraph">
                  <wp:posOffset>106045</wp:posOffset>
                </wp:positionV>
                <wp:extent cx="4676140" cy="10604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676140" cy="1060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A5952">
                            <w:pPr>
                              <w:jc w:val="right"/>
                              <w:rPr>
                                <w:rFonts w:hint="default" w:ascii="微软雅黑" w:hAnsi="微软雅黑" w:eastAsia="微软雅黑" w:cs="微软雅黑"/>
                                <w:b/>
                                <w:bCs/>
                                <w:color w:val="000000" w:themeColor="text1"/>
                                <w:sz w:val="96"/>
                                <w:szCs w:val="96"/>
                                <w:lang w:val="en-US" w:eastAsia="zh-CN"/>
                                <w14:textFill>
                                  <w14:solidFill>
                                    <w14:schemeClr w14:val="tx1"/>
                                  </w14:solidFill>
                                </w14:textFill>
                              </w:rPr>
                            </w:pPr>
                            <w:r>
                              <w:rPr>
                                <w:rFonts w:hint="eastAsia" w:ascii="微软雅黑" w:hAnsi="微软雅黑" w:eastAsia="微软雅黑" w:cs="微软雅黑"/>
                                <w:b/>
                                <w:bCs/>
                                <w:color w:val="000000" w:themeColor="text1"/>
                                <w:sz w:val="96"/>
                                <w:szCs w:val="96"/>
                                <w:lang w:val="en-US" w:eastAsia="zh-CN"/>
                                <w14:textFill>
                                  <w14:solidFill>
                                    <w14:schemeClr w14:val="tx1"/>
                                  </w14:solidFill>
                                </w14:textFill>
                              </w:rPr>
                              <w:t>2025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65pt;margin-top:8.35pt;height:83.5pt;width:368.2pt;z-index:251661312;mso-width-relative:page;mso-height-relative:page;" filled="f" stroked="f" coordsize="21600,21600" o:gfxdata="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vyli9oAAAAKAQAADwAAAAAAAAABACAAAAAiAAAAZHJz&#10;L2Rvd25yZXYueG1sUEsBAhQAFAAAAAgAh07iQOpzHBc7AgAAZwQAAA4AAAAAAAAAAQAgAAAAKQEA&#10;AGRycy9lMm9Eb2MueG1sUEsFBgAAAAAGAAYAWQEAANYFAAAAAA==&#10;">
                <v:fill on="f" focussize="0,0"/>
                <v:stroke on="f" weight="0.5pt"/>
                <v:imagedata o:title=""/>
                <o:lock v:ext="edit" aspectratio="f"/>
                <v:textbox>
                  <w:txbxContent>
                    <w:p w14:paraId="294A5952">
                      <w:pPr>
                        <w:jc w:val="right"/>
                        <w:rPr>
                          <w:rFonts w:hint="default" w:ascii="微软雅黑" w:hAnsi="微软雅黑" w:eastAsia="微软雅黑" w:cs="微软雅黑"/>
                          <w:b/>
                          <w:bCs/>
                          <w:color w:val="000000" w:themeColor="text1"/>
                          <w:sz w:val="96"/>
                          <w:szCs w:val="96"/>
                          <w:lang w:val="en-US" w:eastAsia="zh-CN"/>
                          <w14:textFill>
                            <w14:solidFill>
                              <w14:schemeClr w14:val="tx1"/>
                            </w14:solidFill>
                          </w14:textFill>
                        </w:rPr>
                      </w:pPr>
                      <w:r>
                        <w:rPr>
                          <w:rFonts w:hint="eastAsia" w:ascii="微软雅黑" w:hAnsi="微软雅黑" w:eastAsia="微软雅黑" w:cs="微软雅黑"/>
                          <w:b/>
                          <w:bCs/>
                          <w:color w:val="000000" w:themeColor="text1"/>
                          <w:sz w:val="96"/>
                          <w:szCs w:val="96"/>
                          <w:lang w:val="en-US" w:eastAsia="zh-CN"/>
                          <w14:textFill>
                            <w14:solidFill>
                              <w14:schemeClr w14:val="tx1"/>
                            </w14:solidFill>
                          </w14:textFill>
                        </w:rPr>
                        <w:t>2025</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393065</wp:posOffset>
                </wp:positionH>
                <wp:positionV relativeFrom="paragraph">
                  <wp:posOffset>1236980</wp:posOffset>
                </wp:positionV>
                <wp:extent cx="5902325" cy="2747010"/>
                <wp:effectExtent l="0" t="0" r="0" b="0"/>
                <wp:wrapNone/>
                <wp:docPr id="9" name="文本框 9"/>
                <wp:cNvGraphicFramePr/>
                <a:graphic xmlns:a="http://schemas.openxmlformats.org/drawingml/2006/main">
                  <a:graphicData uri="http://schemas.microsoft.com/office/word/2010/wordprocessingShape">
                    <wps:wsp>
                      <wps:cNvSpPr txBox="1"/>
                      <wps:spPr>
                        <a:xfrm>
                          <a:off x="941705" y="5377815"/>
                          <a:ext cx="5902325" cy="2747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5FE34">
                            <w:pPr>
                              <w:jc w:val="right"/>
                              <w:rPr>
                                <w:rFonts w:hint="eastAsia" w:ascii="微软雅黑" w:hAnsi="微软雅黑" w:eastAsia="微软雅黑" w:cs="微软雅黑"/>
                                <w:b/>
                                <w:bCs/>
                                <w:color w:val="000000" w:themeColor="text1"/>
                                <w:sz w:val="72"/>
                                <w:szCs w:val="72"/>
                                <w:lang w:val="en-US" w:eastAsia="zh-CN"/>
                                <w14:textFill>
                                  <w14:solidFill>
                                    <w14:schemeClr w14:val="tx1"/>
                                  </w14:solidFill>
                                </w14:textFill>
                              </w:rPr>
                            </w:pPr>
                            <w:r>
                              <w:rPr>
                                <w:rFonts w:hint="eastAsia" w:ascii="微软雅黑" w:hAnsi="微软雅黑" w:eastAsia="微软雅黑" w:cs="微软雅黑"/>
                                <w:b/>
                                <w:bCs/>
                                <w:color w:val="000000" w:themeColor="text1"/>
                                <w:sz w:val="72"/>
                                <w:szCs w:val="72"/>
                                <w:lang w:val="en-US" w:eastAsia="zh-CN"/>
                                <w14:textFill>
                                  <w14:solidFill>
                                    <w14:schemeClr w14:val="tx1"/>
                                  </w14:solidFill>
                                </w14:textFill>
                              </w:rPr>
                              <w:t>图书馆</w:t>
                            </w:r>
                          </w:p>
                          <w:p w14:paraId="7D47EAA9">
                            <w:pPr>
                              <w:jc w:val="right"/>
                              <w:rPr>
                                <w:rFonts w:hint="default" w:ascii="微软雅黑" w:hAnsi="微软雅黑" w:eastAsia="微软雅黑" w:cs="微软雅黑"/>
                                <w:b/>
                                <w:bCs/>
                                <w:color w:val="000000" w:themeColor="text1"/>
                                <w:sz w:val="72"/>
                                <w:szCs w:val="72"/>
                                <w:lang w:val="en-US" w:eastAsia="zh-CN"/>
                                <w14:textFill>
                                  <w14:solidFill>
                                    <w14:schemeClr w14:val="tx1"/>
                                  </w14:solidFill>
                                </w14:textFill>
                              </w:rPr>
                            </w:pPr>
                            <w:r>
                              <w:rPr>
                                <w:rFonts w:hint="eastAsia" w:ascii="微软雅黑" w:hAnsi="微软雅黑" w:eastAsia="微软雅黑" w:cs="微软雅黑"/>
                                <w:b/>
                                <w:bCs/>
                                <w:color w:val="000000" w:themeColor="text1"/>
                                <w:sz w:val="72"/>
                                <w:szCs w:val="72"/>
                                <w:lang w:val="en-US" w:eastAsia="zh-CN"/>
                                <w14:textFill>
                                  <w14:solidFill>
                                    <w14:schemeClr w14:val="tx1"/>
                                  </w14:solidFill>
                                </w14:textFill>
                              </w:rPr>
                              <w:t>年度报告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5pt;margin-top:97.4pt;height:216.3pt;width:464.75pt;z-index:251660288;mso-width-relative:page;mso-height-relative:page;" filled="f" stroked="f" coordsize="21600,21600" o:gfxdata="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dxqmn2wAAAAoBAAAPAAAAAAAA&#10;AAEAIAAAACIAAABkcnMvZG93bnJldi54bWxQSwECFAAUAAAACACHTuJAVKDr0UgCAAByBAAADgAA&#10;AAAAAAABACAAAAAqAQAAZHJzL2Uyb0RvYy54bWxQSwUGAAAAAAYABgBZAQAA5AUAAAAA&#10;">
                <v:fill on="f" focussize="0,0"/>
                <v:stroke on="f" weight="0.5pt"/>
                <v:imagedata o:title=""/>
                <o:lock v:ext="edit" aspectratio="f"/>
                <v:textbox>
                  <w:txbxContent>
                    <w:p w14:paraId="16B5FE34">
                      <w:pPr>
                        <w:jc w:val="right"/>
                        <w:rPr>
                          <w:rFonts w:hint="eastAsia" w:ascii="微软雅黑" w:hAnsi="微软雅黑" w:eastAsia="微软雅黑" w:cs="微软雅黑"/>
                          <w:b/>
                          <w:bCs/>
                          <w:color w:val="000000" w:themeColor="text1"/>
                          <w:sz w:val="72"/>
                          <w:szCs w:val="72"/>
                          <w:lang w:val="en-US" w:eastAsia="zh-CN"/>
                          <w14:textFill>
                            <w14:solidFill>
                              <w14:schemeClr w14:val="tx1"/>
                            </w14:solidFill>
                          </w14:textFill>
                        </w:rPr>
                      </w:pPr>
                      <w:r>
                        <w:rPr>
                          <w:rFonts w:hint="eastAsia" w:ascii="微软雅黑" w:hAnsi="微软雅黑" w:eastAsia="微软雅黑" w:cs="微软雅黑"/>
                          <w:b/>
                          <w:bCs/>
                          <w:color w:val="000000" w:themeColor="text1"/>
                          <w:sz w:val="72"/>
                          <w:szCs w:val="72"/>
                          <w:lang w:val="en-US" w:eastAsia="zh-CN"/>
                          <w14:textFill>
                            <w14:solidFill>
                              <w14:schemeClr w14:val="tx1"/>
                            </w14:solidFill>
                          </w14:textFill>
                        </w:rPr>
                        <w:t>图书馆</w:t>
                      </w:r>
                    </w:p>
                    <w:p w14:paraId="7D47EAA9">
                      <w:pPr>
                        <w:jc w:val="right"/>
                        <w:rPr>
                          <w:rFonts w:hint="default" w:ascii="微软雅黑" w:hAnsi="微软雅黑" w:eastAsia="微软雅黑" w:cs="微软雅黑"/>
                          <w:b/>
                          <w:bCs/>
                          <w:color w:val="000000" w:themeColor="text1"/>
                          <w:sz w:val="72"/>
                          <w:szCs w:val="72"/>
                          <w:lang w:val="en-US" w:eastAsia="zh-CN"/>
                          <w14:textFill>
                            <w14:solidFill>
                              <w14:schemeClr w14:val="tx1"/>
                            </w14:solidFill>
                          </w14:textFill>
                        </w:rPr>
                      </w:pPr>
                      <w:r>
                        <w:rPr>
                          <w:rFonts w:hint="eastAsia" w:ascii="微软雅黑" w:hAnsi="微软雅黑" w:eastAsia="微软雅黑" w:cs="微软雅黑"/>
                          <w:b/>
                          <w:bCs/>
                          <w:color w:val="000000" w:themeColor="text1"/>
                          <w:sz w:val="72"/>
                          <w:szCs w:val="72"/>
                          <w:lang w:val="en-US" w:eastAsia="zh-CN"/>
                          <w14:textFill>
                            <w14:solidFill>
                              <w14:schemeClr w14:val="tx1"/>
                            </w14:solidFill>
                          </w14:textFill>
                        </w:rPr>
                        <w:t>年度报告</w:t>
                      </w:r>
                    </w:p>
                  </w:txbxContent>
                </v:textbox>
              </v:shape>
            </w:pict>
          </mc:Fallback>
        </mc:AlternateContent>
      </w:r>
    </w:p>
    <w:sdt>
      <w:sdtPr>
        <w:rPr>
          <w:rFonts w:ascii="宋体" w:hAnsi="宋体" w:eastAsia="宋体" w:cs="方正仿宋_GB2312"/>
          <w:b/>
          <w:bCs/>
          <w:kern w:val="2"/>
          <w:sz w:val="44"/>
          <w:szCs w:val="44"/>
          <w:lang w:val="en-US" w:eastAsia="zh-CN" w:bidi="ar-SA"/>
        </w:rPr>
        <w:id w:val="147470385"/>
        <w15:color w:val="DBDBDB"/>
        <w:docPartObj>
          <w:docPartGallery w:val="Table of Contents"/>
          <w:docPartUnique/>
        </w:docPartObj>
      </w:sdtPr>
      <w:sdtEndPr>
        <w:rPr>
          <w:rFonts w:hint="default" w:ascii="方正仿宋_GB2312" w:hAnsi="方正仿宋_GB2312" w:eastAsia="方正仿宋_GB2312" w:cs="方正仿宋_GB2312"/>
          <w:b/>
          <w:bCs/>
          <w:kern w:val="2"/>
          <w:sz w:val="32"/>
          <w:szCs w:val="32"/>
          <w:lang w:val="en-US" w:eastAsia="zh-CN" w:bidi="ar-SA"/>
        </w:rPr>
      </w:sdtEndPr>
      <w:sdtContent>
        <w:p w14:paraId="6210F2EC">
          <w:pPr>
            <w:spacing w:before="0" w:beforeLines="0" w:after="0" w:afterLines="0" w:line="240" w:lineRule="auto"/>
            <w:ind w:left="0" w:leftChars="0" w:right="0" w:rightChars="0" w:firstLine="0" w:firstLineChars="0"/>
            <w:jc w:val="center"/>
            <w:rPr>
              <w:b/>
              <w:bCs/>
              <w:sz w:val="44"/>
              <w:szCs w:val="44"/>
            </w:rPr>
          </w:pPr>
          <w:r>
            <w:rPr>
              <w:rFonts w:ascii="宋体" w:hAnsi="宋体" w:eastAsia="宋体"/>
              <w:b/>
              <w:bCs/>
              <w:sz w:val="44"/>
              <w:szCs w:val="44"/>
            </w:rPr>
            <w:t>目录</w:t>
          </w:r>
        </w:p>
        <w:p w14:paraId="7AF4472D">
          <w:pPr>
            <w:pStyle w:val="7"/>
            <w:tabs>
              <w:tab w:val="right" w:leader="dot" w:pos="8306"/>
            </w:tabs>
          </w:pPr>
          <w:r>
            <w:rPr>
              <w:rFonts w:hint="default" w:ascii="方正仿宋_GB2312" w:hAnsi="方正仿宋_GB2312" w:eastAsia="方正仿宋_GB2312" w:cs="方正仿宋_GB2312"/>
              <w:kern w:val="2"/>
              <w:sz w:val="32"/>
              <w:szCs w:val="32"/>
              <w:lang w:val="en-US" w:eastAsia="zh-CN" w:bidi="ar-SA"/>
            </w:rPr>
            <w:fldChar w:fldCharType="begin"/>
          </w:r>
          <w:r>
            <w:rPr>
              <w:rFonts w:hint="default" w:ascii="方正仿宋_GB2312" w:hAnsi="方正仿宋_GB2312" w:eastAsia="方正仿宋_GB2312" w:cs="方正仿宋_GB2312"/>
              <w:kern w:val="2"/>
              <w:sz w:val="32"/>
              <w:szCs w:val="32"/>
              <w:lang w:val="en-US" w:eastAsia="zh-CN" w:bidi="ar-SA"/>
            </w:rPr>
            <w:instrText xml:space="preserve">TOC \o "1-3" \h \u </w:instrText>
          </w:r>
          <w:r>
            <w:rPr>
              <w:rFonts w:hint="default" w:ascii="方正仿宋_GB2312" w:hAnsi="方正仿宋_GB2312" w:eastAsia="方正仿宋_GB2312" w:cs="方正仿宋_GB2312"/>
              <w:kern w:val="2"/>
              <w:sz w:val="32"/>
              <w:szCs w:val="32"/>
              <w:lang w:val="en-US" w:eastAsia="zh-CN" w:bidi="ar-SA"/>
            </w:rPr>
            <w:fldChar w:fldCharType="separate"/>
          </w: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_Toc11787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lang w:val="en-US" w:eastAsia="zh-CN"/>
            </w:rPr>
            <w:t>一、 前言</w:t>
          </w:r>
          <w:r>
            <w:tab/>
          </w:r>
          <w:r>
            <w:fldChar w:fldCharType="begin"/>
          </w:r>
          <w:r>
            <w:instrText xml:space="preserve"> PAGEREF _Toc11787 \h </w:instrText>
          </w:r>
          <w:r>
            <w:fldChar w:fldCharType="separate"/>
          </w:r>
          <w:r>
            <w:t>3</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37FC6FF7">
          <w:pPr>
            <w:pStyle w:val="7"/>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_Toc25678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lang w:val="en-US" w:eastAsia="zh-CN"/>
            </w:rPr>
            <w:t>二、 年度工作概述与核心亮点</w:t>
          </w:r>
          <w:r>
            <w:tab/>
          </w:r>
          <w:r>
            <w:fldChar w:fldCharType="begin"/>
          </w:r>
          <w:r>
            <w:instrText xml:space="preserve"> PAGEREF _Toc25678 \h </w:instrText>
          </w:r>
          <w:r>
            <w:fldChar w:fldCharType="separate"/>
          </w:r>
          <w:r>
            <w:t>4</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79B881F3">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_Toc10172 </w:instrText>
          </w:r>
          <w:r>
            <w:rPr>
              <w:rFonts w:hint="default" w:ascii="方正仿宋_GB2312" w:hAnsi="方正仿宋_GB2312" w:eastAsia="方正仿宋_GB2312" w:cs="方正仿宋_GB2312"/>
              <w:kern w:val="2"/>
              <w:szCs w:val="32"/>
              <w:lang w:val="en-US" w:eastAsia="zh-CN" w:bidi="ar-SA"/>
            </w:rPr>
            <w:fldChar w:fldCharType="separate"/>
          </w:r>
          <w:r>
            <w:rPr>
              <w:rFonts w:hint="eastAsia" w:cs="方正仿宋_GB2312"/>
              <w:kern w:val="2"/>
              <w:szCs w:val="32"/>
              <w:lang w:val="en-US" w:eastAsia="zh-CN" w:bidi="ar-SA"/>
            </w:rPr>
            <w:t>（</w:t>
          </w:r>
          <w:r>
            <w:rPr>
              <w:rFonts w:hint="eastAsia"/>
              <w:lang w:val="en-US" w:eastAsia="zh-CN"/>
            </w:rPr>
            <w:t>一</w:t>
          </w:r>
          <w:r>
            <w:rPr>
              <w:rFonts w:hint="eastAsia" w:ascii="宋体" w:hAnsi="宋体"/>
              <w:lang w:val="en-US" w:eastAsia="zh-CN"/>
            </w:rPr>
            <w:t>）</w:t>
          </w:r>
          <w:r>
            <w:rPr>
              <w:rFonts w:hint="eastAsia"/>
              <w:lang w:val="en-US" w:eastAsia="zh-CN"/>
            </w:rPr>
            <w:t>年度基础工作概述</w:t>
          </w:r>
          <w:r>
            <w:tab/>
          </w:r>
          <w:r>
            <w:fldChar w:fldCharType="begin"/>
          </w:r>
          <w:r>
            <w:instrText xml:space="preserve"> PAGEREF _Toc10172 \h </w:instrText>
          </w:r>
          <w:r>
            <w:fldChar w:fldCharType="separate"/>
          </w:r>
          <w:r>
            <w:t>4</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780C3D44">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_Toc20798 </w:instrText>
          </w:r>
          <w:r>
            <w:rPr>
              <w:rFonts w:hint="default" w:ascii="方正仿宋_GB2312" w:hAnsi="方正仿宋_GB2312" w:eastAsia="方正仿宋_GB2312" w:cs="方正仿宋_GB2312"/>
              <w:kern w:val="2"/>
              <w:szCs w:val="32"/>
              <w:lang w:val="en-US" w:eastAsia="zh-CN" w:bidi="ar-SA"/>
            </w:rPr>
            <w:fldChar w:fldCharType="separate"/>
          </w:r>
          <w:r>
            <w:rPr>
              <w:rFonts w:hint="eastAsia" w:ascii="宋体" w:hAnsi="宋体"/>
              <w:lang w:val="en-US" w:eastAsia="zh-CN"/>
            </w:rPr>
            <w:t>（二）特色亮点工作</w:t>
          </w:r>
          <w:r>
            <w:tab/>
          </w:r>
          <w:r>
            <w:fldChar w:fldCharType="begin"/>
          </w:r>
          <w:r>
            <w:instrText xml:space="preserve"> PAGEREF _Toc20798 \h </w:instrText>
          </w:r>
          <w:r>
            <w:fldChar w:fldCharType="separate"/>
          </w:r>
          <w:r>
            <w:t>4</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3F7D0F44">
          <w:pPr>
            <w:pStyle w:val="7"/>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_Toc17926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lang w:val="en-US" w:eastAsia="zh-CN"/>
            </w:rPr>
            <w:t>三、 资源建设与发展</w:t>
          </w:r>
          <w:r>
            <w:tab/>
          </w:r>
          <w:r>
            <w:fldChar w:fldCharType="begin"/>
          </w:r>
          <w:r>
            <w:instrText xml:space="preserve"> PAGEREF _Toc17926 \h </w:instrText>
          </w:r>
          <w:r>
            <w:fldChar w:fldCharType="separate"/>
          </w:r>
          <w:r>
            <w:t>6</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305D3A74">
          <w:pPr>
            <w:pStyle w:val="7"/>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_Toc28086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lang w:val="en-US" w:eastAsia="zh-CN"/>
            </w:rPr>
            <w:t>四、 读者服务与利用情况</w:t>
          </w:r>
          <w:r>
            <w:tab/>
          </w:r>
          <w:r>
            <w:fldChar w:fldCharType="begin"/>
          </w:r>
          <w:r>
            <w:instrText xml:space="preserve"> PAGEREF _Toc28086 \h </w:instrText>
          </w:r>
          <w:r>
            <w:fldChar w:fldCharType="separate"/>
          </w:r>
          <w:r>
            <w:t>9</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1112E949">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_Toc5824 </w:instrText>
          </w:r>
          <w:r>
            <w:rPr>
              <w:rFonts w:hint="default" w:ascii="方正仿宋_GB2312" w:hAnsi="方正仿宋_GB2312" w:eastAsia="方正仿宋_GB2312" w:cs="方正仿宋_GB2312"/>
              <w:kern w:val="2"/>
              <w:szCs w:val="32"/>
              <w:lang w:val="en-US" w:eastAsia="zh-CN" w:bidi="ar-SA"/>
            </w:rPr>
            <w:fldChar w:fldCharType="separate"/>
          </w:r>
          <w:r>
            <w:rPr>
              <w:rFonts w:hint="eastAsia"/>
            </w:rPr>
            <w:t>（一） 服务全景：总体规模与活跃度</w:t>
          </w:r>
          <w:r>
            <w:tab/>
          </w:r>
          <w:r>
            <w:fldChar w:fldCharType="begin"/>
          </w:r>
          <w:r>
            <w:instrText xml:space="preserve"> PAGEREF _Toc5824 \h </w:instrText>
          </w:r>
          <w:r>
            <w:fldChar w:fldCharType="separate"/>
          </w:r>
          <w:r>
            <w:t>9</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3ABA35FD">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_Toc25793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rPr>
            <w:t>（二） 纸本阅读：</w:t>
          </w:r>
          <w:r>
            <w:rPr>
              <w:rFonts w:hint="eastAsia"/>
              <w:lang w:val="en-US" w:eastAsia="zh-CN"/>
            </w:rPr>
            <w:t>阅读</w:t>
          </w:r>
          <w:r>
            <w:rPr>
              <w:rFonts w:hint="default"/>
            </w:rPr>
            <w:t>趋势</w:t>
          </w:r>
          <w:r>
            <w:rPr>
              <w:rFonts w:hint="eastAsia"/>
              <w:lang w:val="en-US" w:eastAsia="zh-CN"/>
            </w:rPr>
            <w:t>与</w:t>
          </w:r>
          <w:r>
            <w:rPr>
              <w:rFonts w:hint="default"/>
            </w:rPr>
            <w:t>偏好</w:t>
          </w:r>
          <w:r>
            <w:tab/>
          </w:r>
          <w:r>
            <w:fldChar w:fldCharType="begin"/>
          </w:r>
          <w:r>
            <w:instrText xml:space="preserve"> PAGEREF _Toc25793 \h </w:instrText>
          </w:r>
          <w:r>
            <w:fldChar w:fldCharType="separate"/>
          </w:r>
          <w:r>
            <w:t>11</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711509AB">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_Toc25366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rPr>
            <w:t>（三） 数字资源利用：学科偏好与访问规律</w:t>
          </w:r>
          <w:r>
            <w:tab/>
          </w:r>
          <w:r>
            <w:fldChar w:fldCharType="begin"/>
          </w:r>
          <w:r>
            <w:instrText xml:space="preserve"> PAGEREF _Toc25366 \h </w:instrText>
          </w:r>
          <w:r>
            <w:fldChar w:fldCharType="separate"/>
          </w:r>
          <w:r>
            <w:t>15</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2677F49E">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_Toc9212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ascii="宋体" w:hAnsi="宋体"/>
            </w:rPr>
            <w:t>（四）</w:t>
          </w:r>
          <w:r>
            <w:rPr>
              <w:rFonts w:hint="eastAsia" w:ascii="宋体" w:hAnsi="宋体"/>
              <w:lang w:val="en-US" w:eastAsia="zh-CN"/>
            </w:rPr>
            <w:t xml:space="preserve"> </w:t>
          </w:r>
          <w:r>
            <w:rPr>
              <w:rFonts w:hint="default" w:ascii="宋体" w:hAnsi="宋体"/>
            </w:rPr>
            <w:t>服务模式：多元探索与立体延伸</w:t>
          </w:r>
          <w:r>
            <w:tab/>
          </w:r>
          <w:r>
            <w:fldChar w:fldCharType="begin"/>
          </w:r>
          <w:r>
            <w:instrText xml:space="preserve"> PAGEREF _Toc9212 \h </w:instrText>
          </w:r>
          <w:r>
            <w:fldChar w:fldCharType="separate"/>
          </w:r>
          <w:r>
            <w:t>20</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6B42FDEB">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_Toc3785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rPr>
            <w:t>（</w:t>
          </w:r>
          <w:r>
            <w:rPr>
              <w:rFonts w:hint="eastAsia"/>
              <w:lang w:val="en-US" w:eastAsia="zh-CN"/>
            </w:rPr>
            <w:t>五</w:t>
          </w:r>
          <w:r>
            <w:rPr>
              <w:rFonts w:hint="default"/>
            </w:rPr>
            <w:t>） 聆听读者：调研反馈与服务闭环</w:t>
          </w:r>
          <w:r>
            <w:tab/>
          </w:r>
          <w:r>
            <w:fldChar w:fldCharType="begin"/>
          </w:r>
          <w:r>
            <w:instrText xml:space="preserve"> PAGEREF _Toc3785 \h </w:instrText>
          </w:r>
          <w:r>
            <w:fldChar w:fldCharType="separate"/>
          </w:r>
          <w:r>
            <w:t>22</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26E61104">
          <w:pPr>
            <w:pStyle w:val="7"/>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_Toc25180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lang w:val="en-US" w:eastAsia="zh-CN"/>
            </w:rPr>
            <w:t>五、</w:t>
          </w:r>
          <w:r>
            <w:rPr>
              <w:rFonts w:hint="eastAsia"/>
              <w:lang w:val="en-US" w:eastAsia="zh-CN"/>
            </w:rPr>
            <w:t>环境</w:t>
          </w:r>
          <w:r>
            <w:rPr>
              <w:rFonts w:hint="default"/>
              <w:lang w:val="en-US" w:eastAsia="zh-CN"/>
            </w:rPr>
            <w:t>空间改造</w:t>
          </w:r>
          <w:r>
            <w:tab/>
          </w:r>
          <w:r>
            <w:fldChar w:fldCharType="begin"/>
          </w:r>
          <w:r>
            <w:instrText xml:space="preserve"> PAGEREF _Toc25180 \h </w:instrText>
          </w:r>
          <w:r>
            <w:fldChar w:fldCharType="separate"/>
          </w:r>
          <w:r>
            <w:t>24</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37BA23C7">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_Toc5728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ascii="宋体" w:hAnsi="宋体"/>
              <w:lang w:val="en-US" w:eastAsia="zh-CN"/>
            </w:rPr>
            <w:t>（一）空间布局与功能拓展</w:t>
          </w:r>
          <w:r>
            <w:tab/>
          </w:r>
          <w:r>
            <w:fldChar w:fldCharType="begin"/>
          </w:r>
          <w:r>
            <w:instrText xml:space="preserve"> PAGEREF _Toc5728 \h </w:instrText>
          </w:r>
          <w:r>
            <w:fldChar w:fldCharType="separate"/>
          </w:r>
          <w:r>
            <w:t>24</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522F0F40">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_Toc28167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lang w:val="en-US" w:eastAsia="zh-CN"/>
            </w:rPr>
            <w:t>（</w:t>
          </w:r>
          <w:r>
            <w:rPr>
              <w:rFonts w:hint="eastAsia"/>
              <w:lang w:val="en-US" w:eastAsia="zh-CN"/>
            </w:rPr>
            <w:t>二</w:t>
          </w:r>
          <w:r>
            <w:rPr>
              <w:rFonts w:hint="default"/>
              <w:lang w:val="en-US" w:eastAsia="zh-CN"/>
            </w:rPr>
            <w:t>）文化内涵与育人功能</w:t>
          </w:r>
          <w:r>
            <w:tab/>
          </w:r>
          <w:r>
            <w:fldChar w:fldCharType="begin"/>
          </w:r>
          <w:r>
            <w:instrText xml:space="preserve"> PAGEREF _Toc28167 \h </w:instrText>
          </w:r>
          <w:r>
            <w:fldChar w:fldCharType="separate"/>
          </w:r>
          <w:r>
            <w:t>25</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03C60B44">
          <w:pPr>
            <w:pStyle w:val="7"/>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_Toc19500 </w:instrText>
          </w:r>
          <w:r>
            <w:rPr>
              <w:rFonts w:hint="default" w:ascii="方正仿宋_GB2312" w:hAnsi="方正仿宋_GB2312" w:eastAsia="方正仿宋_GB2312" w:cs="方正仿宋_GB2312"/>
              <w:kern w:val="2"/>
              <w:szCs w:val="32"/>
              <w:lang w:val="en-US" w:eastAsia="zh-CN" w:bidi="ar-SA"/>
            </w:rPr>
            <w:fldChar w:fldCharType="separate"/>
          </w:r>
          <w:r>
            <w:rPr>
              <w:rFonts w:hint="eastAsia"/>
              <w:lang w:val="en-US" w:eastAsia="zh-CN"/>
            </w:rPr>
            <w:t>六</w:t>
          </w:r>
          <w:r>
            <w:rPr>
              <w:rFonts w:hint="default"/>
              <w:lang w:val="en-US" w:eastAsia="zh-CN"/>
            </w:rPr>
            <w:t>、 队伍建设与管理</w:t>
          </w:r>
          <w:r>
            <w:rPr>
              <w:rFonts w:hint="eastAsia"/>
              <w:lang w:val="en-US" w:eastAsia="zh-CN"/>
            </w:rPr>
            <w:t>制度建设</w:t>
          </w:r>
          <w:r>
            <w:tab/>
          </w:r>
          <w:r>
            <w:fldChar w:fldCharType="begin"/>
          </w:r>
          <w:r>
            <w:instrText xml:space="preserve"> PAGEREF _Toc19500 \h </w:instrText>
          </w:r>
          <w:r>
            <w:fldChar w:fldCharType="separate"/>
          </w:r>
          <w:r>
            <w:t>25</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3D04332D">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_Toc483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lang w:val="en-US" w:eastAsia="zh-CN"/>
            </w:rPr>
            <w:t>（一）馆员队伍建设：</w:t>
          </w:r>
          <w:r>
            <w:rPr>
              <w:rFonts w:hint="default" w:ascii="宋体" w:hAnsi="宋体"/>
              <w:lang w:val="en-US" w:eastAsia="zh-CN"/>
            </w:rPr>
            <w:t>专业精进与团队赋能</w:t>
          </w:r>
          <w:r>
            <w:tab/>
          </w:r>
          <w:r>
            <w:fldChar w:fldCharType="begin"/>
          </w:r>
          <w:r>
            <w:instrText xml:space="preserve"> PAGEREF _Toc483 \h </w:instrText>
          </w:r>
          <w:r>
            <w:fldChar w:fldCharType="separate"/>
          </w:r>
          <w:r>
            <w:t>26</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75215A26">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_Toc12799 </w:instrText>
          </w:r>
          <w:r>
            <w:rPr>
              <w:rFonts w:hint="default" w:ascii="方正仿宋_GB2312" w:hAnsi="方正仿宋_GB2312" w:eastAsia="方正仿宋_GB2312" w:cs="方正仿宋_GB2312"/>
              <w:kern w:val="2"/>
              <w:szCs w:val="32"/>
              <w:lang w:val="en-US" w:eastAsia="zh-CN" w:bidi="ar-SA"/>
            </w:rPr>
            <w:fldChar w:fldCharType="separate"/>
          </w:r>
          <w:r>
            <w:rPr>
              <w:rFonts w:hint="default"/>
              <w:lang w:val="en-US" w:eastAsia="zh-CN"/>
            </w:rPr>
            <w:t>（二）管理制度建设</w:t>
          </w:r>
          <w:r>
            <w:rPr>
              <w:rFonts w:hint="default" w:ascii="宋体" w:hAnsi="宋体"/>
              <w:lang w:val="en-US" w:eastAsia="zh-CN"/>
            </w:rPr>
            <w:t>：制度夯实与安全护航</w:t>
          </w:r>
          <w:r>
            <w:tab/>
          </w:r>
          <w:r>
            <w:fldChar w:fldCharType="begin"/>
          </w:r>
          <w:r>
            <w:instrText xml:space="preserve"> PAGEREF _Toc12799 \h </w:instrText>
          </w:r>
          <w:r>
            <w:fldChar w:fldCharType="separate"/>
          </w:r>
          <w:r>
            <w:t>26</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67F275C7">
          <w:pPr>
            <w:pStyle w:val="7"/>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_Toc10451 </w:instrText>
          </w:r>
          <w:r>
            <w:rPr>
              <w:rFonts w:hint="default" w:ascii="方正仿宋_GB2312" w:hAnsi="方正仿宋_GB2312" w:eastAsia="方正仿宋_GB2312" w:cs="方正仿宋_GB2312"/>
              <w:kern w:val="2"/>
              <w:szCs w:val="32"/>
              <w:lang w:val="en-US" w:eastAsia="zh-CN" w:bidi="ar-SA"/>
            </w:rPr>
            <w:fldChar w:fldCharType="separate"/>
          </w:r>
          <w:r>
            <w:rPr>
              <w:rFonts w:hint="eastAsia"/>
              <w:lang w:val="en-US" w:eastAsia="zh-CN"/>
            </w:rPr>
            <w:t>七</w:t>
          </w:r>
          <w:r>
            <w:rPr>
              <w:rFonts w:hint="eastAsia"/>
            </w:rPr>
            <w:t>、 面临的挑战与未来展望</w:t>
          </w:r>
          <w:r>
            <w:tab/>
          </w:r>
          <w:r>
            <w:fldChar w:fldCharType="begin"/>
          </w:r>
          <w:r>
            <w:instrText xml:space="preserve"> PAGEREF _Toc10451 \h </w:instrText>
          </w:r>
          <w:r>
            <w:fldChar w:fldCharType="separate"/>
          </w:r>
          <w:r>
            <w:t>27</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7325801D">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_Toc32266 </w:instrText>
          </w:r>
          <w:r>
            <w:rPr>
              <w:rFonts w:hint="default" w:ascii="方正仿宋_GB2312" w:hAnsi="方正仿宋_GB2312" w:eastAsia="方正仿宋_GB2312" w:cs="方正仿宋_GB2312"/>
              <w:kern w:val="2"/>
              <w:szCs w:val="32"/>
              <w:lang w:val="en-US" w:eastAsia="zh-CN" w:bidi="ar-SA"/>
            </w:rPr>
            <w:fldChar w:fldCharType="separate"/>
          </w:r>
          <w:r>
            <w:rPr>
              <w:rFonts w:hint="eastAsia"/>
              <w:lang w:val="en-US" w:eastAsia="zh-CN"/>
            </w:rPr>
            <w:t>（一）发展的挑战：在变革中寻求突破</w:t>
          </w:r>
          <w:r>
            <w:tab/>
          </w:r>
          <w:r>
            <w:fldChar w:fldCharType="begin"/>
          </w:r>
          <w:r>
            <w:instrText xml:space="preserve"> PAGEREF _Toc32266 \h </w:instrText>
          </w:r>
          <w:r>
            <w:fldChar w:fldCharType="separate"/>
          </w:r>
          <w:r>
            <w:t>27</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5AB5FC0F">
          <w:pPr>
            <w:pStyle w:val="6"/>
            <w:tabs>
              <w:tab w:val="right" w:leader="dot" w:pos="8306"/>
            </w:tabs>
          </w:pPr>
          <w:r>
            <w:rPr>
              <w:rFonts w:hint="default" w:ascii="方正仿宋_GB2312" w:hAnsi="方正仿宋_GB2312" w:eastAsia="方正仿宋_GB2312" w:cs="方正仿宋_GB2312"/>
              <w:kern w:val="2"/>
              <w:szCs w:val="32"/>
              <w:lang w:val="en-US" w:eastAsia="zh-CN" w:bidi="ar-SA"/>
            </w:rPr>
            <w:fldChar w:fldCharType="begin"/>
          </w:r>
          <w:r>
            <w:rPr>
              <w:rFonts w:hint="default" w:ascii="方正仿宋_GB2312" w:hAnsi="方正仿宋_GB2312" w:eastAsia="方正仿宋_GB2312" w:cs="方正仿宋_GB2312"/>
              <w:kern w:val="2"/>
              <w:szCs w:val="32"/>
              <w:lang w:val="en-US" w:eastAsia="zh-CN" w:bidi="ar-SA"/>
            </w:rPr>
            <w:instrText xml:space="preserve"> HYPERLINK \l _Toc9152 </w:instrText>
          </w:r>
          <w:r>
            <w:rPr>
              <w:rFonts w:hint="default" w:ascii="方正仿宋_GB2312" w:hAnsi="方正仿宋_GB2312" w:eastAsia="方正仿宋_GB2312" w:cs="方正仿宋_GB2312"/>
              <w:kern w:val="2"/>
              <w:szCs w:val="32"/>
              <w:lang w:val="en-US" w:eastAsia="zh-CN" w:bidi="ar-SA"/>
            </w:rPr>
            <w:fldChar w:fldCharType="separate"/>
          </w:r>
          <w:r>
            <w:rPr>
              <w:rFonts w:hint="eastAsia"/>
              <w:lang w:val="en-US" w:eastAsia="zh-CN"/>
            </w:rPr>
            <w:t>（二）2026年工作展望：在创新中实现跨越</w:t>
          </w:r>
          <w:r>
            <w:tab/>
          </w:r>
          <w:r>
            <w:fldChar w:fldCharType="begin"/>
          </w:r>
          <w:r>
            <w:instrText xml:space="preserve"> PAGEREF _Toc9152 \h </w:instrText>
          </w:r>
          <w:r>
            <w:fldChar w:fldCharType="separate"/>
          </w:r>
          <w:r>
            <w:t>29</w:t>
          </w:r>
          <w:r>
            <w:fldChar w:fldCharType="end"/>
          </w:r>
          <w:r>
            <w:rPr>
              <w:rFonts w:hint="default" w:ascii="方正仿宋_GB2312" w:hAnsi="方正仿宋_GB2312" w:eastAsia="方正仿宋_GB2312" w:cs="方正仿宋_GB2312"/>
              <w:kern w:val="2"/>
              <w:szCs w:val="32"/>
              <w:lang w:val="en-US" w:eastAsia="zh-CN" w:bidi="ar-SA"/>
            </w:rPr>
            <w:fldChar w:fldCharType="end"/>
          </w:r>
        </w:p>
        <w:p w14:paraId="735C1EC5">
          <w:pPr>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Cs w:val="32"/>
              <w:lang w:val="en-US" w:eastAsia="zh-CN" w:bidi="ar-SA"/>
            </w:rPr>
            <w:fldChar w:fldCharType="end"/>
          </w:r>
        </w:p>
      </w:sdtContent>
    </w:sdt>
    <w:p w14:paraId="2764CB8F">
      <w:pPr>
        <w:rPr>
          <w:rFonts w:hint="default" w:ascii="方正仿宋_GB2312" w:hAnsi="方正仿宋_GB2312" w:eastAsia="方正仿宋_GB2312" w:cs="方正仿宋_GB2312"/>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0336410">
      <w:pPr>
        <w:pStyle w:val="3"/>
        <w:bidi w:val="0"/>
        <w:rPr>
          <w:rFonts w:hint="default"/>
          <w:lang w:val="en-US" w:eastAsia="zh-CN"/>
        </w:rPr>
      </w:pPr>
      <w:bookmarkStart w:id="0" w:name="_Toc11787"/>
      <w:r>
        <w:rPr>
          <w:rFonts w:hint="default"/>
          <w:lang w:val="en-US" w:eastAsia="zh-CN"/>
        </w:rPr>
        <w:t>一、 前言</w:t>
      </w:r>
      <w:bookmarkEnd w:id="0"/>
    </w:p>
    <w:p w14:paraId="3AE3A33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仿宋_GB2312" w:hAnsi="仿宋_GB2312" w:eastAsia="仿宋_GB2312" w:cs="仿宋_GB2312"/>
          <w:i w:val="0"/>
          <w:caps w:val="0"/>
          <w:spacing w:val="0"/>
          <w:kern w:val="0"/>
          <w:sz w:val="32"/>
          <w:szCs w:val="32"/>
          <w:shd w:val="clear" w:color="auto" w:fill="FFFFFF"/>
          <w:lang w:val="en-US" w:eastAsia="zh-CN" w:bidi="ar"/>
        </w:rPr>
      </w:pPr>
      <w:r>
        <w:rPr>
          <w:rFonts w:hint="eastAsia" w:ascii="仿宋_GB2312" w:hAnsi="仿宋_GB2312" w:eastAsia="仿宋_GB2312" w:cs="仿宋_GB2312"/>
          <w:kern w:val="0"/>
          <w:sz w:val="32"/>
          <w:szCs w:val="32"/>
          <w:lang w:val="en-US" w:eastAsia="zh-CN" w:bidi="ar"/>
        </w:rPr>
        <w:t>2025年，在学校党委、行政的坚强领导下，在各职能部门、二级学院的大力支持下，图书馆积极履行资源保障、信息服务职能，主动发挥文化传播、协同育人作用，紧紧围绕“服务教学、赋能成长、传承文化”的职责与使命创新工作，为建设书香济职做出了图书馆的贡献。</w:t>
      </w:r>
    </w:p>
    <w:p w14:paraId="03FD7EA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过去的一年，是充满挑战、更满载荣誉的一年。图书馆的耕耘在多个领域结出硕果：</w:t>
      </w:r>
      <w:r>
        <w:rPr>
          <w:rFonts w:hint="default" w:ascii="仿宋_GB2312" w:hAnsi="仿宋_GB2312" w:eastAsia="仿宋_GB2312" w:cs="仿宋_GB2312"/>
          <w:kern w:val="0"/>
          <w:sz w:val="32"/>
          <w:szCs w:val="32"/>
          <w:lang w:val="en-US" w:eastAsia="zh-CN" w:bidi="ar"/>
        </w:rPr>
        <w:t>在阅读推广与社会服务方面，获评河南省“全民阅读”活动先进单位，“悦科普文化驿站”成为省级突出阅读品牌，“济小图”志愿团队获文旅厅嘉奖；在服务创新与专业研究方面，“图书馆里的思政课”案例荣获省服务创新大赛一等奖，</w:t>
      </w:r>
      <w:r>
        <w:rPr>
          <w:rFonts w:hint="eastAsia" w:ascii="仿宋_GB2312" w:hAnsi="仿宋_GB2312" w:eastAsia="仿宋_GB2312" w:cs="仿宋_GB2312"/>
          <w:kern w:val="0"/>
          <w:sz w:val="32"/>
          <w:szCs w:val="32"/>
          <w:lang w:val="en-US" w:eastAsia="zh-CN" w:bidi="ar"/>
        </w:rPr>
        <w:t>“博士面对面”学术思政课堂，</w:t>
      </w:r>
      <w:r>
        <w:rPr>
          <w:rFonts w:hint="default" w:ascii="仿宋_GB2312" w:hAnsi="仿宋_GB2312" w:eastAsia="仿宋_GB2312" w:cs="仿宋_GB2312"/>
          <w:kern w:val="0"/>
          <w:sz w:val="32"/>
          <w:szCs w:val="32"/>
          <w:lang w:val="en-US" w:eastAsia="zh-CN" w:bidi="ar"/>
        </w:rPr>
        <w:t>荣获省服务创新大赛</w:t>
      </w:r>
      <w:r>
        <w:rPr>
          <w:rFonts w:hint="eastAsia" w:ascii="仿宋_GB2312" w:hAnsi="仿宋_GB2312" w:eastAsia="仿宋_GB2312" w:cs="仿宋_GB2312"/>
          <w:kern w:val="0"/>
          <w:sz w:val="32"/>
          <w:szCs w:val="32"/>
          <w:lang w:val="en-US" w:eastAsia="zh-CN" w:bidi="ar"/>
        </w:rPr>
        <w:t>三</w:t>
      </w:r>
      <w:r>
        <w:rPr>
          <w:rFonts w:hint="default" w:ascii="仿宋_GB2312" w:hAnsi="仿宋_GB2312" w:eastAsia="仿宋_GB2312" w:cs="仿宋_GB2312"/>
          <w:kern w:val="0"/>
          <w:sz w:val="32"/>
          <w:szCs w:val="32"/>
          <w:lang w:val="en-US" w:eastAsia="zh-CN" w:bidi="ar"/>
        </w:rPr>
        <w:t>等奖</w:t>
      </w:r>
      <w:r>
        <w:rPr>
          <w:rFonts w:hint="eastAsia" w:ascii="仿宋_GB2312" w:hAnsi="仿宋_GB2312" w:eastAsia="仿宋_GB2312" w:cs="仿宋_GB2312"/>
          <w:kern w:val="0"/>
          <w:sz w:val="32"/>
          <w:szCs w:val="32"/>
          <w:lang w:val="en-US" w:eastAsia="zh-CN" w:bidi="ar"/>
        </w:rPr>
        <w:t>，</w:t>
      </w:r>
      <w:r>
        <w:rPr>
          <w:rFonts w:hint="default" w:ascii="仿宋_GB2312" w:hAnsi="仿宋_GB2312" w:eastAsia="仿宋_GB2312" w:cs="仿宋_GB2312"/>
          <w:kern w:val="0"/>
          <w:sz w:val="32"/>
          <w:szCs w:val="32"/>
          <w:lang w:val="en-US" w:eastAsia="zh-CN" w:bidi="ar"/>
        </w:rPr>
        <w:t>相关研究论文</w:t>
      </w:r>
      <w:r>
        <w:rPr>
          <w:rFonts w:hint="eastAsia" w:ascii="仿宋_GB2312" w:hAnsi="仿宋_GB2312" w:eastAsia="仿宋_GB2312" w:cs="仿宋_GB2312"/>
          <w:kern w:val="0"/>
          <w:sz w:val="32"/>
          <w:szCs w:val="32"/>
          <w:lang w:val="en-US" w:eastAsia="zh-CN" w:bidi="ar"/>
        </w:rPr>
        <w:t>在</w:t>
      </w:r>
      <w:r>
        <w:rPr>
          <w:rFonts w:hint="default" w:ascii="仿宋_GB2312" w:hAnsi="仿宋_GB2312" w:eastAsia="仿宋_GB2312" w:cs="仿宋_GB2312"/>
          <w:kern w:val="0"/>
          <w:sz w:val="32"/>
          <w:szCs w:val="32"/>
          <w:lang w:val="en-US" w:eastAsia="zh-CN" w:bidi="ar"/>
        </w:rPr>
        <w:t>全国高职院校图书馆馆长论坛</w:t>
      </w:r>
      <w:r>
        <w:rPr>
          <w:rFonts w:hint="eastAsia" w:ascii="仿宋_GB2312" w:hAnsi="仿宋_GB2312" w:eastAsia="仿宋_GB2312" w:cs="仿宋_GB2312"/>
          <w:kern w:val="0"/>
          <w:sz w:val="32"/>
          <w:szCs w:val="32"/>
          <w:lang w:val="en-US" w:eastAsia="zh-CN" w:bidi="ar"/>
        </w:rPr>
        <w:t>获</w:t>
      </w:r>
      <w:r>
        <w:rPr>
          <w:rFonts w:hint="default" w:ascii="仿宋_GB2312" w:hAnsi="仿宋_GB2312" w:eastAsia="仿宋_GB2312" w:cs="仿宋_GB2312"/>
          <w:kern w:val="0"/>
          <w:sz w:val="32"/>
          <w:szCs w:val="32"/>
          <w:lang w:val="en-US" w:eastAsia="zh-CN" w:bidi="ar"/>
        </w:rPr>
        <w:t>三等奖；在信息素养与立德树人方面，组织学生在中科杯知识竞赛、主题诵读大赛、信息素养大赛中屡获佳绩，多名馆员被评为优秀指导教师与先进工作者</w:t>
      </w:r>
      <w:r>
        <w:rPr>
          <w:rFonts w:hint="eastAsia" w:ascii="仿宋_GB2312" w:hAnsi="仿宋_GB2312" w:eastAsia="仿宋_GB2312" w:cs="仿宋_GB2312"/>
          <w:kern w:val="0"/>
          <w:sz w:val="32"/>
          <w:szCs w:val="32"/>
          <w:lang w:val="en-US" w:eastAsia="zh-CN" w:bidi="ar"/>
        </w:rPr>
        <w:t>；在整体工作与服务成效方面，荣获“济源职业技术学院宣传思想工作先进集体”称号以及“河南省高校优秀图书馆”称号。</w:t>
      </w:r>
      <w:r>
        <w:rPr>
          <w:rFonts w:hint="default" w:ascii="仿宋_GB2312" w:hAnsi="仿宋_GB2312" w:eastAsia="仿宋_GB2312" w:cs="仿宋_GB2312"/>
          <w:kern w:val="0"/>
          <w:sz w:val="32"/>
          <w:szCs w:val="32"/>
          <w:lang w:val="en-US" w:eastAsia="zh-CN" w:bidi="ar"/>
        </w:rPr>
        <w:t>这些沉甸甸的荣誉，是对我馆“服务育人，知识共享”初心的最好回响，也凝聚着上级部门的指导、每一位读者的陪伴、以及全体馆员与志愿者的辛勤汗水</w:t>
      </w:r>
      <w:r>
        <w:rPr>
          <w:rFonts w:hint="eastAsia" w:ascii="仿宋_GB2312" w:hAnsi="仿宋_GB2312" w:eastAsia="仿宋_GB2312" w:cs="仿宋_GB2312"/>
          <w:kern w:val="0"/>
          <w:sz w:val="32"/>
          <w:szCs w:val="32"/>
          <w:lang w:val="en-US" w:eastAsia="zh-CN" w:bidi="ar"/>
        </w:rPr>
        <w:t>。</w:t>
      </w:r>
    </w:p>
    <w:p w14:paraId="0787BDA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default" w:ascii="仿宋_GB2312" w:hAnsi="仿宋_GB2312" w:eastAsia="仿宋_GB2312" w:cs="仿宋_GB2312"/>
          <w:kern w:val="0"/>
          <w:sz w:val="32"/>
          <w:szCs w:val="32"/>
          <w:lang w:val="en-US" w:eastAsia="zh-CN" w:bidi="ar"/>
        </w:rPr>
      </w:pPr>
      <w:r>
        <w:rPr>
          <w:rFonts w:hint="default" w:ascii="仿宋_GB2312" w:hAnsi="仿宋_GB2312" w:eastAsia="仿宋_GB2312" w:cs="仿宋_GB2312"/>
          <w:kern w:val="0"/>
          <w:sz w:val="32"/>
          <w:szCs w:val="32"/>
          <w:lang w:val="en-US" w:eastAsia="zh-CN" w:bidi="ar"/>
        </w:rPr>
        <w:t>展望未来，我们倍受鼓舞，亦深感责任在肩。站在新的起点上，图书馆将以此为基石，紧密围绕学校发展战略，主动适应师生需求变化与信息技术变革，以更加开放的姿态、更加创新的举措、更加务实的作风，全面提升资源保障能力、拓展文化育人功能，为学校高质量发展和书香</w:t>
      </w:r>
      <w:r>
        <w:rPr>
          <w:rFonts w:hint="eastAsia" w:ascii="仿宋_GB2312" w:hAnsi="仿宋_GB2312" w:eastAsia="仿宋_GB2312" w:cs="仿宋_GB2312"/>
          <w:kern w:val="0"/>
          <w:sz w:val="32"/>
          <w:szCs w:val="32"/>
          <w:lang w:val="en-US" w:eastAsia="zh-CN" w:bidi="ar"/>
        </w:rPr>
        <w:t>校园</w:t>
      </w:r>
      <w:r>
        <w:rPr>
          <w:rFonts w:hint="default" w:ascii="仿宋_GB2312" w:hAnsi="仿宋_GB2312" w:eastAsia="仿宋_GB2312" w:cs="仿宋_GB2312"/>
          <w:kern w:val="0"/>
          <w:sz w:val="32"/>
          <w:szCs w:val="32"/>
          <w:lang w:val="en-US" w:eastAsia="zh-CN" w:bidi="ar"/>
        </w:rPr>
        <w:t>建设注入源源不断的力量。</w:t>
      </w:r>
    </w:p>
    <w:p w14:paraId="5E20E02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default" w:ascii="仿宋_GB2312" w:hAnsi="仿宋_GB2312" w:eastAsia="仿宋_GB2312" w:cs="仿宋_GB2312"/>
          <w:kern w:val="0"/>
          <w:sz w:val="32"/>
          <w:szCs w:val="32"/>
          <w:lang w:val="en-US" w:eastAsia="zh-CN" w:bidi="ar"/>
        </w:rPr>
      </w:pPr>
      <w:r>
        <w:rPr>
          <w:rFonts w:hint="default" w:ascii="仿宋_GB2312" w:hAnsi="仿宋_GB2312" w:eastAsia="仿宋_GB2312" w:cs="仿宋_GB2312"/>
          <w:kern w:val="0"/>
          <w:sz w:val="32"/>
          <w:szCs w:val="32"/>
          <w:lang w:val="en-US" w:eastAsia="zh-CN" w:bidi="ar"/>
        </w:rPr>
        <w:t>本报告旨在系统梳理图书</w:t>
      </w:r>
      <w:r>
        <w:rPr>
          <w:rFonts w:hint="default"/>
          <w:lang w:val="en-US" w:eastAsia="zh-CN"/>
        </w:rPr>
        <w:t>馆2025</w:t>
      </w:r>
      <w:r>
        <w:rPr>
          <w:rFonts w:hint="default" w:ascii="仿宋_GB2312" w:hAnsi="仿宋_GB2312" w:eastAsia="仿宋_GB2312" w:cs="仿宋_GB2312"/>
          <w:kern w:val="0"/>
          <w:sz w:val="32"/>
          <w:szCs w:val="32"/>
          <w:lang w:val="en-US" w:eastAsia="zh-CN" w:bidi="ar"/>
        </w:rPr>
        <w:t>年度在资源建设、读者服务、空间改造、队伍建设等方面的工作实践与主要成效，并通过对用户行为、资源利用等数据的分析，生动展现年度阅读特征与服务生态，为馆藏发展、服务优化及管理决策提供科学依据。同时，报告将客观分析当前面临的挑战，并在此基础上展望与规划未来一年的发展路径。</w:t>
      </w:r>
    </w:p>
    <w:p w14:paraId="70C037C8">
      <w:pPr>
        <w:pStyle w:val="3"/>
        <w:bidi w:val="0"/>
        <w:rPr>
          <w:rFonts w:hint="default"/>
          <w:lang w:val="en-US" w:eastAsia="zh-CN"/>
        </w:rPr>
      </w:pPr>
      <w:bookmarkStart w:id="1" w:name="_Toc25678"/>
      <w:r>
        <w:rPr>
          <w:rFonts w:hint="default"/>
          <w:lang w:val="en-US" w:eastAsia="zh-CN"/>
        </w:rPr>
        <w:t>二、 年度工作概述与核心亮点</w:t>
      </w:r>
      <w:bookmarkEnd w:id="1"/>
    </w:p>
    <w:p w14:paraId="5DD23A29">
      <w:pPr>
        <w:pStyle w:val="4"/>
        <w:bidi w:val="0"/>
        <w:ind w:firstLine="640" w:firstLineChars="200"/>
        <w:rPr>
          <w:rFonts w:hint="eastAsia"/>
          <w:lang w:val="en-US" w:eastAsia="zh-CN"/>
        </w:rPr>
      </w:pPr>
      <w:bookmarkStart w:id="2" w:name="_Toc10172"/>
      <w:r>
        <w:rPr>
          <w:rFonts w:hint="eastAsia"/>
          <w:lang w:val="en-US" w:eastAsia="zh-CN"/>
        </w:rPr>
        <w:t>（一）年度基础工作概述</w:t>
      </w:r>
      <w:bookmarkEnd w:id="2"/>
    </w:p>
    <w:p w14:paraId="7E714C87">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lang w:val="en-US" w:eastAsia="zh-CN"/>
        </w:rPr>
      </w:pPr>
      <w:r>
        <w:rPr>
          <w:rFonts w:hint="eastAsia"/>
          <w:lang w:val="en-US" w:eastAsia="zh-CN"/>
        </w:rPr>
        <w:t>2025</w:t>
      </w:r>
      <w:r>
        <w:rPr>
          <w:rFonts w:hint="eastAsia" w:ascii="仿宋_GB2312" w:hAnsi="仿宋_GB2312" w:eastAsia="仿宋_GB2312" w:cs="仿宋_GB2312"/>
          <w:b w:val="0"/>
          <w:bCs w:val="0"/>
          <w:sz w:val="32"/>
          <w:szCs w:val="32"/>
          <w:lang w:val="en-US" w:eastAsia="zh-CN"/>
        </w:rPr>
        <w:t>年，全馆接待读者</w:t>
      </w:r>
      <w:r>
        <w:rPr>
          <w:rFonts w:hint="eastAsia"/>
          <w:lang w:val="en-US" w:eastAsia="zh-CN"/>
        </w:rPr>
        <w:t>473973人次，新增办证人数7525人，图书流通175374册次，借阅78558人次，电子资源访问量达230万余次；举办讲座、展览等各类线上线下活动120余场，参与读者约7万</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人次；微信</w:t>
      </w:r>
      <w:r>
        <w:rPr>
          <w:rFonts w:hint="eastAsia" w:ascii="仿宋_GB2312" w:hAnsi="仿宋_GB2312" w:eastAsia="仿宋_GB2312" w:cs="仿宋_GB2312"/>
          <w:kern w:val="0"/>
          <w:sz w:val="32"/>
          <w:szCs w:val="32"/>
          <w:highlight w:val="none"/>
          <w:lang w:val="en-US" w:eastAsia="zh-CN" w:bidi="ar"/>
        </w:rPr>
        <w:t>公众号推</w:t>
      </w:r>
      <w:r>
        <w:rPr>
          <w:rFonts w:hint="eastAsia"/>
          <w:lang w:val="en-US" w:eastAsia="zh-CN"/>
        </w:rPr>
        <w:t>送217条，关注读者63665人次，阅读分享量15.6万次；网站、媒体宣传报道76次，其中市级以上媒体35次，学习强国转载2次，学校《济职工作信息》选用1次。</w:t>
      </w:r>
    </w:p>
    <w:p w14:paraId="6F44C81C">
      <w:pPr>
        <w:pStyle w:val="4"/>
        <w:bidi w:val="0"/>
        <w:ind w:firstLine="640" w:firstLineChars="200"/>
        <w:rPr>
          <w:rFonts w:hint="default" w:ascii="宋体" w:hAnsi="宋体"/>
          <w:lang w:val="en-US" w:eastAsia="zh-CN"/>
        </w:rPr>
      </w:pPr>
      <w:bookmarkStart w:id="3" w:name="_Toc20798"/>
      <w:r>
        <w:rPr>
          <w:rFonts w:hint="eastAsia" w:ascii="宋体" w:hAnsi="宋体"/>
          <w:lang w:val="en-US" w:eastAsia="zh-CN"/>
        </w:rPr>
        <w:t>（二）特色亮点工作</w:t>
      </w:r>
      <w:bookmarkEnd w:id="3"/>
    </w:p>
    <w:p w14:paraId="7587D1C9">
      <w:pPr>
        <w:keepNext w:val="0"/>
        <w:keepLines w:val="0"/>
        <w:pageBreakBefore w:val="0"/>
        <w:widowControl/>
        <w:numPr>
          <w:ilvl w:val="0"/>
          <w:numId w:val="0"/>
        </w:numPr>
        <w:suppressLineNumbers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利用资源优势，发挥育人作用，积极参与、主动融入学校“新愚公素养成长工程”，打造了“思政课+”五维融合育人模式，通过“资源—空间—活动—实践—服务”全链条设计，将思政教育、文化传承与实践育人深度融合。</w:t>
      </w:r>
    </w:p>
    <w:p w14:paraId="00E606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55" w:firstLineChars="200"/>
        <w:jc w:val="both"/>
        <w:textAlignment w:val="auto"/>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pPr>
      <w:r>
        <w:rPr>
          <w:rFonts w:hint="eastAsia" w:ascii="仿宋_GB2312" w:hAnsi="仿宋_GB2312" w:eastAsia="仿宋_GB2312" w:cs="仿宋_GB2312"/>
          <w:b/>
          <w:bCs/>
          <w:i w:val="0"/>
          <w:iCs w:val="0"/>
          <w:caps w:val="0"/>
          <w:spacing w:val="3"/>
          <w:sz w:val="32"/>
          <w:szCs w:val="32"/>
          <w:shd w:val="clear" w:color="auto" w:fill="FFFFFF"/>
          <w:lang w:val="en-US" w:eastAsia="zh-CN"/>
        </w:rPr>
        <w:t>1. 培育“</w:t>
      </w:r>
      <w:r>
        <w:rPr>
          <w:rFonts w:hint="eastAsia" w:ascii="仿宋_GB2312" w:hAnsi="仿宋_GB2312" w:eastAsia="仿宋_GB2312" w:cs="仿宋_GB2312"/>
          <w:b/>
          <w:bCs/>
          <w:i w:val="0"/>
          <w:iCs w:val="0"/>
          <w:caps w:val="0"/>
          <w:spacing w:val="3"/>
          <w:sz w:val="32"/>
          <w:szCs w:val="32"/>
          <w:shd w:val="clear" w:color="auto" w:fill="FFFFFF"/>
        </w:rPr>
        <w:t>思政课+</w:t>
      </w:r>
      <w:r>
        <w:rPr>
          <w:rFonts w:hint="eastAsia" w:ascii="仿宋_GB2312" w:hAnsi="仿宋_GB2312" w:eastAsia="仿宋_GB2312" w:cs="仿宋_GB2312"/>
          <w:b/>
          <w:bCs/>
          <w:i w:val="0"/>
          <w:iCs w:val="0"/>
          <w:caps w:val="0"/>
          <w:spacing w:val="3"/>
          <w:sz w:val="32"/>
          <w:szCs w:val="32"/>
          <w:shd w:val="clear" w:color="auto" w:fill="FFFFFF"/>
          <w:lang w:val="en-US" w:eastAsia="zh-CN"/>
        </w:rPr>
        <w:t>”品牌</w:t>
      </w:r>
      <w:r>
        <w:rPr>
          <w:rFonts w:hint="eastAsia" w:ascii="仿宋_GB2312" w:hAnsi="仿宋_GB2312" w:eastAsia="仿宋_GB2312" w:cs="仿宋_GB2312"/>
          <w:b/>
          <w:bCs/>
          <w:i w:val="0"/>
          <w:iCs w:val="0"/>
          <w:caps w:val="0"/>
          <w:spacing w:val="3"/>
          <w:sz w:val="32"/>
          <w:szCs w:val="32"/>
          <w:shd w:val="clear" w:color="auto" w:fill="FFFFFF"/>
        </w:rPr>
        <w:t>：</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一是</w:t>
      </w:r>
      <w:r>
        <w:rPr>
          <w:rFonts w:hint="eastAsia" w:ascii="仿宋_GB2312" w:hAnsi="仿宋_GB2312" w:eastAsia="仿宋_GB2312" w:cs="仿宋_GB2312"/>
          <w:b/>
          <w:bCs/>
          <w:i w:val="0"/>
          <w:caps w:val="0"/>
          <w:spacing w:val="0"/>
          <w:kern w:val="0"/>
          <w:sz w:val="32"/>
          <w:szCs w:val="32"/>
          <w:highlight w:val="none"/>
          <w:shd w:val="clear" w:color="auto" w:fill="FFFFFF"/>
          <w:lang w:val="en-US" w:eastAsia="zh-CN" w:bidi="ar"/>
        </w:rPr>
        <w:t>思政课+资源</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构建“主题书展—阅读打卡—读书沙龙—征文比赛—经典诵读—阅读达人评选”六阶递进机制，形成二级学院“书记—院长—教授—博士—成长导师—馆员”六级荐书体系，2025年累计推荐红色经典、人文社科和专业用书1000余种，带动纸质图书借阅量同比增长15%，电子资源访问量提升20%；二是</w:t>
      </w:r>
      <w:r>
        <w:rPr>
          <w:rFonts w:hint="eastAsia" w:ascii="仿宋_GB2312" w:hAnsi="仿宋_GB2312" w:eastAsia="仿宋_GB2312" w:cs="仿宋_GB2312"/>
          <w:b/>
          <w:bCs/>
          <w:i w:val="0"/>
          <w:caps w:val="0"/>
          <w:spacing w:val="0"/>
          <w:kern w:val="0"/>
          <w:sz w:val="32"/>
          <w:szCs w:val="32"/>
          <w:highlight w:val="none"/>
          <w:shd w:val="clear" w:color="auto" w:fill="FFFFFF"/>
          <w:lang w:val="en-US" w:eastAsia="zh-CN" w:bidi="ar"/>
        </w:rPr>
        <w:t>思政课+空间</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：举办红色书展，组织读书分享，开展传统文化创意手工活动，通过“走进图书馆”“翻书不翻屏”“青春有书 未来有光”和</w:t>
      </w:r>
      <w:r>
        <w:rPr>
          <w:rFonts w:hint="eastAsia" w:ascii="仿宋_GB2312" w:hAnsi="仿宋_GB2312" w:eastAsia="仿宋_GB2312" w:cs="仿宋_GB2312"/>
          <w:kern w:val="0"/>
          <w:sz w:val="32"/>
          <w:szCs w:val="32"/>
          <w:lang w:val="en-US" w:eastAsia="zh-CN" w:bidi="ar"/>
        </w:rPr>
        <w:t>“诗吟山河月·手绘家国情”</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等系列主题活动，吸引师生入馆，沉浸式场馆育人落地见效；三是</w:t>
      </w:r>
      <w:r>
        <w:rPr>
          <w:rFonts w:hint="eastAsia" w:ascii="仿宋_GB2312" w:hAnsi="仿宋_GB2312" w:eastAsia="仿宋_GB2312" w:cs="仿宋_GB2312"/>
          <w:b/>
          <w:bCs/>
          <w:i w:val="0"/>
          <w:iCs w:val="0"/>
          <w:caps w:val="0"/>
          <w:spacing w:val="3"/>
          <w:sz w:val="32"/>
          <w:szCs w:val="32"/>
          <w:shd w:val="clear" w:color="auto" w:fill="FFFFFF"/>
        </w:rPr>
        <w:t>思政课+学术</w:t>
      </w:r>
      <w:r>
        <w:rPr>
          <w:rFonts w:hint="eastAsia" w:ascii="仿宋_GB2312" w:hAnsi="仿宋_GB2312" w:eastAsia="仿宋_GB2312" w:cs="仿宋_GB2312"/>
          <w:b/>
          <w:bCs/>
          <w:i w:val="0"/>
          <w:iCs w:val="0"/>
          <w:caps w:val="0"/>
          <w:spacing w:val="3"/>
          <w:sz w:val="32"/>
          <w:szCs w:val="32"/>
          <w:shd w:val="clear" w:color="auto" w:fill="FFFFFF"/>
          <w:lang w:eastAsia="zh-CN"/>
        </w:rPr>
        <w:t>：</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依托“济图讲堂”平台，聚焦“技术与梦想”“职业与责任”“成才和成长”等主题组建博士讲师团队，开展“博士面对面”专题讲座，92%的学生反馈政治修养、职业素养、人文涵养显著提升。</w:t>
      </w:r>
    </w:p>
    <w:p w14:paraId="388D39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55" w:firstLineChars="200"/>
        <w:jc w:val="both"/>
        <w:textAlignment w:val="auto"/>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pPr>
      <w:r>
        <w:rPr>
          <w:rFonts w:hint="eastAsia" w:ascii="仿宋_GB2312" w:hAnsi="仿宋_GB2312" w:eastAsia="仿宋_GB2312" w:cs="仿宋_GB2312"/>
          <w:b/>
          <w:bCs/>
          <w:i w:val="0"/>
          <w:iCs w:val="0"/>
          <w:caps w:val="0"/>
          <w:spacing w:val="3"/>
          <w:sz w:val="32"/>
          <w:szCs w:val="32"/>
          <w:shd w:val="clear" w:color="auto" w:fill="FFFFFF"/>
          <w:lang w:val="en-US" w:eastAsia="zh-CN"/>
        </w:rPr>
        <w:t>2. 搭建“美育课”平台：</w:t>
      </w:r>
      <w:r>
        <w:rPr>
          <w:rFonts w:hint="eastAsia" w:ascii="仿宋_GB2312" w:hAnsi="仿宋_GB2312" w:eastAsia="仿宋_GB2312" w:cs="仿宋_GB2312"/>
          <w:kern w:val="0"/>
          <w:sz w:val="32"/>
          <w:szCs w:val="32"/>
          <w:lang w:val="en-US" w:eastAsia="zh-CN" w:bidi="ar"/>
        </w:rPr>
        <w:t>利用学生课余时间组织“芳华绽放·悦己时光”三八节活动、以及“春分趣蛋”“端午美育体验课”“文创设计大赛”“赓续华夏文脉·唱响时代新篇”主题诵读、“畅享四阅天，一起来挑战”“声韵传经典 文脉连古今”超星汇雅电子书·经典新读挑战赛等活动，将传统节日文化、艺术创作与阅读推广相结合，提升了师生的审美素养与文化自信。同时依托“济图荐书”推出美育主题书单，举办“烟火书香·生活美学”主题书展，构建了“以书育人、以美润心”的多元美育平台，让图书馆成为滋养心灵、陶冶情操的美育课堂。</w:t>
      </w:r>
    </w:p>
    <w:p w14:paraId="2E435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55" w:firstLineChars="200"/>
        <w:jc w:val="both"/>
        <w:textAlignment w:val="auto"/>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pPr>
      <w:r>
        <w:rPr>
          <w:rFonts w:hint="eastAsia" w:ascii="仿宋_GB2312" w:hAnsi="仿宋_GB2312" w:eastAsia="仿宋_GB2312" w:cs="仿宋_GB2312"/>
          <w:b/>
          <w:bCs/>
          <w:i w:val="0"/>
          <w:iCs w:val="0"/>
          <w:caps w:val="0"/>
          <w:spacing w:val="3"/>
          <w:sz w:val="32"/>
          <w:szCs w:val="32"/>
          <w:shd w:val="clear" w:color="auto" w:fill="FFFFFF"/>
          <w:lang w:val="en-US" w:eastAsia="zh-CN"/>
        </w:rPr>
        <w:t>3. 探索“实践课”模式：</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携手医学护理学院师生制作传统中草药香囊；组织艺术设计学院学生开展线装书装订等非遗技艺体验；联合人工智能学院和建筑工程学院师生举办信息素养大赛；与教育艺术学院联合实施“大学生讲绘本”行动，发挥市图书馆终身教育研学基地功能；开展经典绘本导读、表演，服务全市少年儿童800余人次，实现了小学生阅读服务与大学生实践育人的双向赋能；组织“济小图”文化志愿服务，开展新生入馆教育、组织阅读推广活动、走进乡村图书漂流，参与图书整架、秩序维持、文明创建等，累计服务时长超12000小时，以公益活动延伸德育半径。</w:t>
      </w:r>
    </w:p>
    <w:p w14:paraId="22CF2E5B">
      <w:pPr>
        <w:pStyle w:val="3"/>
        <w:bidi w:val="0"/>
        <w:rPr>
          <w:rFonts w:hint="eastAsia"/>
          <w:lang w:val="en-US" w:eastAsia="zh-CN"/>
        </w:rPr>
      </w:pPr>
      <w:bookmarkStart w:id="4" w:name="_Toc17926"/>
      <w:r>
        <w:rPr>
          <w:rFonts w:hint="default"/>
          <w:lang w:val="en-US" w:eastAsia="zh-CN"/>
        </w:rPr>
        <w:t>三、 资源建设与发展</w:t>
      </w:r>
      <w:bookmarkEnd w:id="4"/>
    </w:p>
    <w:p w14:paraId="6DABABAC">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640" w:firstLineChars="200"/>
        <w:textAlignment w:val="auto"/>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pPr>
      <w:r>
        <w:rPr>
          <w:rFonts w:hint="default" w:ascii="仿宋_GB2312" w:hAnsi="仿宋_GB2312" w:eastAsia="仿宋_GB2312" w:cs="仿宋_GB2312"/>
          <w:i w:val="0"/>
          <w:caps w:val="0"/>
          <w:spacing w:val="0"/>
          <w:kern w:val="0"/>
          <w:sz w:val="32"/>
          <w:szCs w:val="32"/>
          <w:highlight w:val="none"/>
          <w:shd w:val="clear" w:color="auto" w:fill="FFFFFF"/>
          <w:lang w:val="en-US" w:eastAsia="zh-CN" w:bidi="ar"/>
        </w:rPr>
        <w:t>2025年，图书馆紧密围绕学校“双高”建设与办学条件达标核心任务，将资源建设置于支撑教学科研、专业发展与文化育人的战略高度。我们坚持“需求导向、精准采购、特色发展”的原则，通过系统化的需求调研与多维度资源扩充，致力构建一个质量并重、结构合理、特色鲜明的文献资源保障体系。</w:t>
      </w:r>
    </w:p>
    <w:p w14:paraId="598DA50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8"/>
          <w:szCs w:val="28"/>
          <w:lang w:val="en-US" w:eastAsia="zh-CN"/>
        </w:rPr>
      </w:pPr>
      <w:r>
        <w:rPr>
          <w:rFonts w:hint="eastAsia"/>
          <w:sz w:val="28"/>
          <w:szCs w:val="28"/>
          <w:lang w:val="en-US" w:eastAsia="zh-CN"/>
        </w:rPr>
        <w:t>表1 图书馆2025年资源采购情况</w:t>
      </w:r>
    </w:p>
    <w:tbl>
      <w:tblPr>
        <w:tblStyle w:val="9"/>
        <w:tblW w:w="79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88"/>
        <w:gridCol w:w="5011"/>
      </w:tblGrid>
      <w:tr w14:paraId="22171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blHeader/>
        </w:trPr>
        <w:tc>
          <w:tcPr>
            <w:tcW w:w="2988" w:type="dxa"/>
            <w:tcBorders>
              <w:top w:val="single" w:color="4874CB" w:sz="4" w:space="0"/>
              <w:bottom w:val="nil"/>
              <w:tl2br w:val="nil"/>
              <w:tr2bl w:val="nil"/>
            </w:tcBorders>
            <w:shd w:val="clear" w:color="auto" w:fill="91ACE0"/>
            <w:tcMar>
              <w:top w:w="150" w:type="dxa"/>
              <w:left w:w="0" w:type="dxa"/>
              <w:bottom w:w="150" w:type="dxa"/>
              <w:right w:w="240" w:type="dxa"/>
            </w:tcMar>
            <w:vAlign w:val="center"/>
          </w:tcPr>
          <w:p w14:paraId="02030D4D">
            <w:pPr>
              <w:keepNext w:val="0"/>
              <w:keepLines w:val="0"/>
              <w:widowControl/>
              <w:suppressLineNumbers w:val="0"/>
              <w:spacing w:line="375" w:lineRule="atLeast"/>
              <w:jc w:val="left"/>
              <w:rPr>
                <w:rFonts w:hint="default" w:ascii="Segoe UI" w:hAnsi="Segoe UI" w:eastAsia="Segoe UI" w:cs="Segoe UI"/>
                <w:b/>
                <w:color w:val="000000"/>
                <w:sz w:val="22"/>
                <w:szCs w:val="22"/>
              </w:rPr>
            </w:pPr>
            <w:r>
              <w:rPr>
                <w:rFonts w:hint="default" w:ascii="Segoe UI" w:hAnsi="Segoe UI" w:eastAsia="Segoe UI" w:cs="Segoe UI"/>
                <w:b/>
                <w:color w:val="000000"/>
                <w:kern w:val="0"/>
                <w:sz w:val="22"/>
                <w:szCs w:val="22"/>
                <w:lang w:val="en-US" w:eastAsia="zh-CN" w:bidi="ar"/>
              </w:rPr>
              <w:t>资源类型</w:t>
            </w:r>
          </w:p>
        </w:tc>
        <w:tc>
          <w:tcPr>
            <w:tcW w:w="5011" w:type="dxa"/>
            <w:tcBorders>
              <w:top w:val="single" w:color="4874CB" w:sz="4" w:space="0"/>
              <w:bottom w:val="nil"/>
              <w:tl2br w:val="nil"/>
              <w:tr2bl w:val="nil"/>
            </w:tcBorders>
            <w:shd w:val="clear" w:color="auto" w:fill="91ACE0"/>
            <w:tcMar>
              <w:top w:w="150" w:type="dxa"/>
              <w:left w:w="240" w:type="dxa"/>
              <w:bottom w:w="150" w:type="dxa"/>
              <w:right w:w="240" w:type="dxa"/>
            </w:tcMar>
            <w:vAlign w:val="center"/>
          </w:tcPr>
          <w:p w14:paraId="388CB061">
            <w:pPr>
              <w:keepNext w:val="0"/>
              <w:keepLines w:val="0"/>
              <w:widowControl/>
              <w:suppressLineNumbers w:val="0"/>
              <w:spacing w:line="375" w:lineRule="atLeast"/>
              <w:jc w:val="left"/>
              <w:rPr>
                <w:rFonts w:hint="default" w:ascii="Segoe UI" w:hAnsi="Segoe UI" w:eastAsia="Segoe UI" w:cs="Segoe UI"/>
                <w:b/>
                <w:color w:val="000000"/>
                <w:sz w:val="22"/>
                <w:szCs w:val="22"/>
              </w:rPr>
            </w:pPr>
            <w:r>
              <w:rPr>
                <w:rFonts w:hint="default" w:ascii="Segoe UI" w:hAnsi="Segoe UI" w:eastAsia="Segoe UI" w:cs="Segoe UI"/>
                <w:b/>
                <w:color w:val="000000"/>
                <w:kern w:val="0"/>
                <w:sz w:val="22"/>
                <w:szCs w:val="22"/>
                <w:lang w:val="en-US" w:eastAsia="zh-CN" w:bidi="ar"/>
              </w:rPr>
              <w:t>采购/新增数量</w:t>
            </w:r>
          </w:p>
        </w:tc>
      </w:tr>
      <w:tr w14:paraId="1CFC8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2988" w:type="dxa"/>
            <w:tcBorders>
              <w:top w:val="nil"/>
              <w:bottom w:val="nil"/>
              <w:right w:val="nil"/>
              <w:tl2br w:val="nil"/>
              <w:tr2bl w:val="nil"/>
            </w:tcBorders>
            <w:shd w:val="clear" w:color="auto" w:fill="FFFFFF"/>
            <w:tcMar>
              <w:top w:w="150" w:type="dxa"/>
              <w:left w:w="0" w:type="dxa"/>
              <w:bottom w:w="150" w:type="dxa"/>
              <w:right w:w="240" w:type="dxa"/>
            </w:tcMar>
            <w:vAlign w:val="center"/>
          </w:tcPr>
          <w:p w14:paraId="582A4357">
            <w:pPr>
              <w:keepNext w:val="0"/>
              <w:keepLines w:val="0"/>
              <w:widowControl/>
              <w:suppressLineNumbers w:val="0"/>
              <w:spacing w:line="375" w:lineRule="atLeast"/>
              <w:jc w:val="left"/>
              <w:rPr>
                <w:rFonts w:hint="default" w:ascii="Segoe UI" w:hAnsi="Segoe UI" w:eastAsia="Segoe UI" w:cs="Segoe UI"/>
                <w:b w:val="0"/>
                <w:color w:val="000000"/>
                <w:sz w:val="22"/>
                <w:szCs w:val="22"/>
              </w:rPr>
            </w:pPr>
            <w:r>
              <w:rPr>
                <w:rStyle w:val="12"/>
                <w:rFonts w:hint="default" w:ascii="Segoe UI" w:hAnsi="Segoe UI" w:eastAsia="Segoe UI" w:cs="Segoe UI"/>
                <w:b w:val="0"/>
                <w:bCs/>
                <w:color w:val="000000"/>
                <w:kern w:val="0"/>
                <w:sz w:val="22"/>
                <w:szCs w:val="22"/>
                <w:lang w:val="en-US" w:eastAsia="zh-CN" w:bidi="ar"/>
              </w:rPr>
              <w:t>纸质图书</w:t>
            </w:r>
          </w:p>
        </w:tc>
        <w:tc>
          <w:tcPr>
            <w:tcW w:w="5011" w:type="dxa"/>
            <w:tcBorders>
              <w:top w:val="nil"/>
              <w:left w:val="nil"/>
              <w:bottom w:val="nil"/>
              <w:tl2br w:val="nil"/>
              <w:tr2bl w:val="nil"/>
            </w:tcBorders>
            <w:shd w:val="clear" w:color="auto" w:fill="FFFFFF"/>
            <w:tcMar>
              <w:top w:w="150" w:type="dxa"/>
              <w:left w:w="240" w:type="dxa"/>
              <w:bottom w:w="150" w:type="dxa"/>
              <w:right w:w="240" w:type="dxa"/>
            </w:tcMar>
            <w:vAlign w:val="center"/>
          </w:tcPr>
          <w:p w14:paraId="4D0E0C47">
            <w:pPr>
              <w:keepNext w:val="0"/>
              <w:keepLines w:val="0"/>
              <w:widowControl/>
              <w:suppressLineNumbers w:val="0"/>
              <w:spacing w:line="375" w:lineRule="atLeast"/>
              <w:jc w:val="left"/>
              <w:rPr>
                <w:rFonts w:hint="default" w:ascii="Segoe UI" w:hAnsi="Segoe UI" w:eastAsia="Segoe UI" w:cs="Segoe UI"/>
                <w:b w:val="0"/>
                <w:color w:val="000000"/>
                <w:sz w:val="22"/>
                <w:szCs w:val="22"/>
              </w:rPr>
            </w:pPr>
            <w:r>
              <w:rPr>
                <w:rFonts w:hint="default" w:ascii="Segoe UI" w:hAnsi="Segoe UI" w:eastAsia="Segoe UI" w:cs="Segoe UI"/>
                <w:b w:val="0"/>
                <w:color w:val="000000"/>
                <w:kern w:val="0"/>
                <w:sz w:val="22"/>
                <w:szCs w:val="22"/>
                <w:lang w:val="en-US" w:eastAsia="zh-CN" w:bidi="ar"/>
              </w:rPr>
              <w:t>56,249册</w:t>
            </w:r>
          </w:p>
        </w:tc>
      </w:tr>
      <w:tr w14:paraId="67D19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2988" w:type="dxa"/>
            <w:tcBorders>
              <w:top w:val="nil"/>
              <w:bottom w:val="nil"/>
              <w:right w:val="nil"/>
              <w:tl2br w:val="nil"/>
              <w:tr2bl w:val="nil"/>
            </w:tcBorders>
            <w:shd w:val="clear" w:color="auto" w:fill="FFFFFF"/>
            <w:tcMar>
              <w:top w:w="150" w:type="dxa"/>
              <w:left w:w="0" w:type="dxa"/>
              <w:bottom w:w="150" w:type="dxa"/>
              <w:right w:w="240" w:type="dxa"/>
            </w:tcMar>
            <w:vAlign w:val="center"/>
          </w:tcPr>
          <w:p w14:paraId="3DAF57EA">
            <w:pPr>
              <w:keepNext w:val="0"/>
              <w:keepLines w:val="0"/>
              <w:widowControl/>
              <w:suppressLineNumbers w:val="0"/>
              <w:spacing w:line="375" w:lineRule="atLeast"/>
              <w:jc w:val="left"/>
              <w:rPr>
                <w:rFonts w:hint="default" w:ascii="Segoe UI" w:hAnsi="Segoe UI" w:eastAsia="Segoe UI" w:cs="Segoe UI"/>
                <w:b w:val="0"/>
                <w:color w:val="000000"/>
                <w:sz w:val="22"/>
                <w:szCs w:val="22"/>
              </w:rPr>
            </w:pPr>
            <w:r>
              <w:rPr>
                <w:rStyle w:val="12"/>
                <w:rFonts w:hint="default" w:ascii="Segoe UI" w:hAnsi="Segoe UI" w:eastAsia="Segoe UI" w:cs="Segoe UI"/>
                <w:b w:val="0"/>
                <w:bCs/>
                <w:color w:val="000000"/>
                <w:kern w:val="0"/>
                <w:sz w:val="22"/>
                <w:szCs w:val="22"/>
                <w:lang w:val="en-US" w:eastAsia="zh-CN" w:bidi="ar"/>
              </w:rPr>
              <w:t>电子图书</w:t>
            </w:r>
          </w:p>
        </w:tc>
        <w:tc>
          <w:tcPr>
            <w:tcW w:w="5011" w:type="dxa"/>
            <w:tcBorders>
              <w:top w:val="nil"/>
              <w:left w:val="nil"/>
              <w:bottom w:val="nil"/>
              <w:tl2br w:val="nil"/>
              <w:tr2bl w:val="nil"/>
            </w:tcBorders>
            <w:shd w:val="clear" w:color="auto" w:fill="FFFFFF"/>
            <w:tcMar>
              <w:top w:w="150" w:type="dxa"/>
              <w:left w:w="240" w:type="dxa"/>
              <w:bottom w:w="150" w:type="dxa"/>
              <w:right w:w="240" w:type="dxa"/>
            </w:tcMar>
            <w:vAlign w:val="center"/>
          </w:tcPr>
          <w:p w14:paraId="79498A5B">
            <w:pPr>
              <w:keepNext w:val="0"/>
              <w:keepLines w:val="0"/>
              <w:widowControl/>
              <w:suppressLineNumbers w:val="0"/>
              <w:spacing w:line="375" w:lineRule="atLeast"/>
              <w:jc w:val="left"/>
              <w:rPr>
                <w:rFonts w:hint="default" w:ascii="Segoe UI" w:hAnsi="Segoe UI" w:eastAsia="Segoe UI" w:cs="Segoe UI"/>
                <w:b w:val="0"/>
                <w:color w:val="000000"/>
                <w:sz w:val="22"/>
                <w:szCs w:val="22"/>
              </w:rPr>
            </w:pPr>
            <w:r>
              <w:rPr>
                <w:rFonts w:hint="default" w:ascii="Segoe UI" w:hAnsi="Segoe UI" w:eastAsia="Segoe UI" w:cs="Segoe UI"/>
                <w:b w:val="0"/>
                <w:color w:val="000000"/>
                <w:kern w:val="0"/>
                <w:sz w:val="22"/>
                <w:szCs w:val="22"/>
                <w:lang w:val="en-US" w:eastAsia="zh-CN" w:bidi="ar"/>
              </w:rPr>
              <w:t>78,500册</w:t>
            </w:r>
          </w:p>
        </w:tc>
      </w:tr>
      <w:tr w14:paraId="778E1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2988" w:type="dxa"/>
            <w:tcBorders>
              <w:top w:val="nil"/>
              <w:bottom w:val="nil"/>
              <w:right w:val="nil"/>
              <w:tl2br w:val="nil"/>
              <w:tr2bl w:val="nil"/>
            </w:tcBorders>
            <w:shd w:val="clear" w:color="auto" w:fill="FFFFFF"/>
            <w:tcMar>
              <w:top w:w="150" w:type="dxa"/>
              <w:left w:w="0" w:type="dxa"/>
              <w:bottom w:w="150" w:type="dxa"/>
              <w:right w:w="240" w:type="dxa"/>
            </w:tcMar>
            <w:vAlign w:val="center"/>
          </w:tcPr>
          <w:p w14:paraId="1C484084">
            <w:pPr>
              <w:keepNext w:val="0"/>
              <w:keepLines w:val="0"/>
              <w:widowControl/>
              <w:suppressLineNumbers w:val="0"/>
              <w:spacing w:line="375" w:lineRule="atLeast"/>
              <w:jc w:val="left"/>
              <w:rPr>
                <w:rFonts w:hint="default" w:ascii="Segoe UI" w:hAnsi="Segoe UI" w:eastAsia="Segoe UI" w:cs="Segoe UI"/>
                <w:b w:val="0"/>
                <w:color w:val="000000"/>
                <w:sz w:val="22"/>
                <w:szCs w:val="22"/>
              </w:rPr>
            </w:pPr>
            <w:r>
              <w:rPr>
                <w:rStyle w:val="12"/>
                <w:rFonts w:hint="default" w:ascii="Segoe UI" w:hAnsi="Segoe UI" w:eastAsia="Segoe UI" w:cs="Segoe UI"/>
                <w:b w:val="0"/>
                <w:bCs/>
                <w:color w:val="000000"/>
                <w:kern w:val="0"/>
                <w:sz w:val="22"/>
                <w:szCs w:val="22"/>
                <w:lang w:val="en-US" w:eastAsia="zh-CN" w:bidi="ar"/>
              </w:rPr>
              <w:t>期刊报纸</w:t>
            </w:r>
          </w:p>
        </w:tc>
        <w:tc>
          <w:tcPr>
            <w:tcW w:w="5011" w:type="dxa"/>
            <w:tcBorders>
              <w:top w:val="nil"/>
              <w:left w:val="nil"/>
              <w:bottom w:val="nil"/>
              <w:tl2br w:val="nil"/>
              <w:tr2bl w:val="nil"/>
            </w:tcBorders>
            <w:shd w:val="clear" w:color="auto" w:fill="FFFFFF"/>
            <w:tcMar>
              <w:top w:w="150" w:type="dxa"/>
              <w:left w:w="240" w:type="dxa"/>
              <w:bottom w:w="150" w:type="dxa"/>
              <w:right w:w="240" w:type="dxa"/>
            </w:tcMar>
            <w:vAlign w:val="center"/>
          </w:tcPr>
          <w:p w14:paraId="2FFE7296">
            <w:pPr>
              <w:keepNext w:val="0"/>
              <w:keepLines w:val="0"/>
              <w:widowControl/>
              <w:suppressLineNumbers w:val="0"/>
              <w:spacing w:line="375" w:lineRule="atLeast"/>
              <w:jc w:val="left"/>
              <w:rPr>
                <w:rFonts w:hint="default" w:ascii="Segoe UI" w:hAnsi="Segoe UI" w:eastAsia="Segoe UI" w:cs="Segoe UI"/>
                <w:b w:val="0"/>
                <w:color w:val="000000"/>
                <w:sz w:val="22"/>
                <w:szCs w:val="22"/>
              </w:rPr>
            </w:pPr>
            <w:r>
              <w:rPr>
                <w:rFonts w:hint="default" w:ascii="Segoe UI" w:hAnsi="Segoe UI" w:eastAsia="Segoe UI" w:cs="Segoe UI"/>
                <w:b w:val="0"/>
                <w:color w:val="000000"/>
                <w:kern w:val="0"/>
                <w:sz w:val="22"/>
                <w:szCs w:val="22"/>
                <w:lang w:val="en-US" w:eastAsia="zh-CN" w:bidi="ar"/>
              </w:rPr>
              <w:t>968种</w:t>
            </w:r>
          </w:p>
        </w:tc>
      </w:tr>
      <w:tr w14:paraId="1FAA9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2988" w:type="dxa"/>
            <w:tcBorders>
              <w:top w:val="nil"/>
              <w:bottom w:val="nil"/>
              <w:right w:val="nil"/>
              <w:tl2br w:val="nil"/>
              <w:tr2bl w:val="nil"/>
            </w:tcBorders>
            <w:shd w:val="clear" w:color="auto" w:fill="FFFFFF"/>
            <w:tcMar>
              <w:top w:w="150" w:type="dxa"/>
              <w:left w:w="0" w:type="dxa"/>
              <w:bottom w:w="150" w:type="dxa"/>
              <w:right w:w="240" w:type="dxa"/>
            </w:tcMar>
            <w:vAlign w:val="center"/>
          </w:tcPr>
          <w:p w14:paraId="3E42FFE0">
            <w:pPr>
              <w:keepNext w:val="0"/>
              <w:keepLines w:val="0"/>
              <w:widowControl/>
              <w:suppressLineNumbers w:val="0"/>
              <w:spacing w:line="375" w:lineRule="atLeast"/>
              <w:jc w:val="left"/>
              <w:rPr>
                <w:rFonts w:hint="default" w:ascii="Segoe UI" w:hAnsi="Segoe UI" w:eastAsia="Segoe UI" w:cs="Segoe UI"/>
                <w:b w:val="0"/>
                <w:color w:val="000000"/>
                <w:sz w:val="22"/>
                <w:szCs w:val="22"/>
              </w:rPr>
            </w:pPr>
            <w:r>
              <w:rPr>
                <w:rStyle w:val="12"/>
                <w:rFonts w:hint="default" w:ascii="Segoe UI" w:hAnsi="Segoe UI" w:eastAsia="Segoe UI" w:cs="Segoe UI"/>
                <w:b w:val="0"/>
                <w:bCs/>
                <w:color w:val="000000"/>
                <w:kern w:val="0"/>
                <w:sz w:val="22"/>
                <w:szCs w:val="22"/>
                <w:lang w:val="en-US" w:eastAsia="zh-CN" w:bidi="ar"/>
              </w:rPr>
              <w:t>数据库</w:t>
            </w:r>
          </w:p>
        </w:tc>
        <w:tc>
          <w:tcPr>
            <w:tcW w:w="5011" w:type="dxa"/>
            <w:tcBorders>
              <w:top w:val="nil"/>
              <w:left w:val="nil"/>
              <w:bottom w:val="nil"/>
              <w:tl2br w:val="nil"/>
              <w:tr2bl w:val="nil"/>
            </w:tcBorders>
            <w:shd w:val="clear" w:color="auto" w:fill="FFFFFF"/>
            <w:tcMar>
              <w:top w:w="150" w:type="dxa"/>
              <w:left w:w="240" w:type="dxa"/>
              <w:bottom w:w="150" w:type="dxa"/>
              <w:right w:w="240" w:type="dxa"/>
            </w:tcMar>
            <w:vAlign w:val="center"/>
          </w:tcPr>
          <w:p w14:paraId="02012E9B">
            <w:pPr>
              <w:keepNext w:val="0"/>
              <w:keepLines w:val="0"/>
              <w:widowControl/>
              <w:suppressLineNumbers w:val="0"/>
              <w:spacing w:line="375" w:lineRule="atLeast"/>
              <w:jc w:val="left"/>
              <w:rPr>
                <w:rFonts w:hint="default" w:ascii="Segoe UI" w:hAnsi="Segoe UI" w:eastAsia="Segoe UI" w:cs="Segoe UI"/>
                <w:b w:val="0"/>
                <w:color w:val="000000"/>
                <w:sz w:val="22"/>
                <w:szCs w:val="22"/>
              </w:rPr>
            </w:pPr>
            <w:r>
              <w:rPr>
                <w:rFonts w:hint="default" w:ascii="Segoe UI" w:hAnsi="Segoe UI" w:eastAsia="Segoe UI" w:cs="Segoe UI"/>
                <w:b w:val="0"/>
                <w:color w:val="000000"/>
                <w:kern w:val="0"/>
                <w:sz w:val="22"/>
                <w:szCs w:val="22"/>
                <w:lang w:val="en-US" w:eastAsia="zh-CN" w:bidi="ar"/>
              </w:rPr>
              <w:t>6个</w:t>
            </w:r>
          </w:p>
        </w:tc>
      </w:tr>
      <w:tr w14:paraId="47D79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trPr>
        <w:tc>
          <w:tcPr>
            <w:tcW w:w="2988" w:type="dxa"/>
            <w:tcBorders>
              <w:top w:val="nil"/>
              <w:bottom w:val="single" w:color="4874CB" w:sz="4" w:space="0"/>
              <w:right w:val="nil"/>
              <w:tl2br w:val="nil"/>
              <w:tr2bl w:val="nil"/>
            </w:tcBorders>
            <w:shd w:val="clear" w:color="auto" w:fill="FFFFFF"/>
            <w:tcMar>
              <w:top w:w="150" w:type="dxa"/>
              <w:left w:w="0" w:type="dxa"/>
              <w:bottom w:w="150" w:type="dxa"/>
              <w:right w:w="240" w:type="dxa"/>
            </w:tcMar>
            <w:vAlign w:val="center"/>
          </w:tcPr>
          <w:p w14:paraId="62646BBB">
            <w:pPr>
              <w:keepNext w:val="0"/>
              <w:keepLines w:val="0"/>
              <w:widowControl/>
              <w:suppressLineNumbers w:val="0"/>
              <w:spacing w:line="375" w:lineRule="atLeast"/>
              <w:jc w:val="left"/>
              <w:rPr>
                <w:rFonts w:hint="default" w:ascii="Segoe UI" w:hAnsi="Segoe UI" w:eastAsia="Segoe UI" w:cs="Segoe UI"/>
                <w:b w:val="0"/>
                <w:color w:val="000000"/>
                <w:sz w:val="22"/>
                <w:szCs w:val="22"/>
                <w:lang w:val="en-US"/>
              </w:rPr>
            </w:pPr>
            <w:r>
              <w:rPr>
                <w:rStyle w:val="12"/>
                <w:rFonts w:hint="default" w:ascii="Segoe UI" w:hAnsi="Segoe UI" w:eastAsia="Segoe UI" w:cs="Segoe UI"/>
                <w:b w:val="0"/>
                <w:bCs/>
                <w:color w:val="000000"/>
                <w:kern w:val="0"/>
                <w:sz w:val="22"/>
                <w:szCs w:val="22"/>
                <w:lang w:val="en-US" w:eastAsia="zh-CN" w:bidi="ar"/>
              </w:rPr>
              <w:t>接受捐赠</w:t>
            </w:r>
            <w:r>
              <w:rPr>
                <w:rStyle w:val="12"/>
                <w:rFonts w:hint="eastAsia" w:ascii="Segoe UI" w:hAnsi="Segoe UI" w:eastAsia="Segoe UI" w:cs="Segoe UI"/>
                <w:b w:val="0"/>
                <w:bCs/>
                <w:color w:val="000000"/>
                <w:kern w:val="0"/>
                <w:sz w:val="22"/>
                <w:szCs w:val="22"/>
                <w:lang w:val="en-US" w:eastAsia="zh-CN" w:bidi="ar"/>
              </w:rPr>
              <w:t>图书</w:t>
            </w:r>
          </w:p>
        </w:tc>
        <w:tc>
          <w:tcPr>
            <w:tcW w:w="5011" w:type="dxa"/>
            <w:tcBorders>
              <w:top w:val="nil"/>
              <w:left w:val="nil"/>
              <w:bottom w:val="single" w:color="4874CB" w:sz="4" w:space="0"/>
              <w:tl2br w:val="nil"/>
              <w:tr2bl w:val="nil"/>
            </w:tcBorders>
            <w:shd w:val="clear" w:color="auto" w:fill="FFFFFF"/>
            <w:tcMar>
              <w:top w:w="150" w:type="dxa"/>
              <w:left w:w="240" w:type="dxa"/>
              <w:bottom w:w="150" w:type="dxa"/>
              <w:right w:w="240" w:type="dxa"/>
            </w:tcMar>
            <w:vAlign w:val="center"/>
          </w:tcPr>
          <w:p w14:paraId="18A3FFBF">
            <w:pPr>
              <w:keepNext w:val="0"/>
              <w:keepLines w:val="0"/>
              <w:widowControl/>
              <w:suppressLineNumbers w:val="0"/>
              <w:spacing w:line="375" w:lineRule="atLeast"/>
              <w:jc w:val="left"/>
              <w:rPr>
                <w:rFonts w:hint="default" w:ascii="Segoe UI" w:hAnsi="Segoe UI" w:eastAsia="Segoe UI" w:cs="Segoe UI"/>
                <w:b w:val="0"/>
                <w:color w:val="000000"/>
                <w:sz w:val="22"/>
                <w:szCs w:val="22"/>
              </w:rPr>
            </w:pPr>
            <w:r>
              <w:rPr>
                <w:rFonts w:hint="default" w:ascii="Segoe UI" w:hAnsi="Segoe UI" w:eastAsia="Segoe UI" w:cs="Segoe UI"/>
                <w:b w:val="0"/>
                <w:color w:val="000000"/>
                <w:kern w:val="0"/>
                <w:sz w:val="22"/>
                <w:szCs w:val="22"/>
                <w:lang w:val="en-US" w:eastAsia="zh-CN" w:bidi="ar"/>
              </w:rPr>
              <w:t>738册</w:t>
            </w:r>
          </w:p>
        </w:tc>
      </w:tr>
    </w:tbl>
    <w:p w14:paraId="1B8C4D62">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640" w:firstLineChars="200"/>
        <w:textAlignment w:val="auto"/>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pP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在纸质资源建设方面，2025年</w:t>
      </w:r>
      <w:r>
        <w:rPr>
          <w:rFonts w:hint="default" w:ascii="仿宋_GB2312" w:hAnsi="仿宋_GB2312" w:eastAsia="仿宋_GB2312" w:cs="仿宋_GB2312"/>
          <w:i w:val="0"/>
          <w:caps w:val="0"/>
          <w:spacing w:val="0"/>
          <w:kern w:val="0"/>
          <w:sz w:val="32"/>
          <w:szCs w:val="32"/>
          <w:highlight w:val="none"/>
          <w:shd w:val="clear" w:color="auto" w:fill="FFFFFF"/>
          <w:lang w:val="en-US" w:eastAsia="zh-CN" w:bidi="ar"/>
        </w:rPr>
        <w:t>新增纸质图书的学科分布结构</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（图1）</w:t>
      </w:r>
      <w:r>
        <w:rPr>
          <w:rFonts w:hint="default" w:ascii="仿宋_GB2312" w:hAnsi="仿宋_GB2312" w:eastAsia="仿宋_GB2312" w:cs="仿宋_GB2312"/>
          <w:i w:val="0"/>
          <w:caps w:val="0"/>
          <w:spacing w:val="0"/>
          <w:kern w:val="0"/>
          <w:sz w:val="32"/>
          <w:szCs w:val="32"/>
          <w:highlight w:val="none"/>
          <w:shd w:val="clear" w:color="auto" w:fill="FFFFFF"/>
          <w:lang w:val="en-US" w:eastAsia="zh-CN" w:bidi="ar"/>
        </w:rPr>
        <w:t>充分体现了 “以读者需求为导向、以专业建设为支撑” 的原则。文学（I类） 图书采购量居首，这与该类别长期位居师生借阅榜首的趋势高度吻合，有力保障了校园阅读推广与通识教育的资源基础。同时，采购量突出的工业技术（T类） 图书，紧密对接了机电工程、汽车工程、人工智能、建筑工程、材料工程等工科学院的教学与实训需求；医药卫生（R类） 资源则重点支撑医学护理学院的专业发展；经济（F类） 与文化、科学、教育（G类）类图书服务于经济管理学院、教育艺术学院、文化与旅游学院等相关院系</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w:t>
      </w:r>
    </w:p>
    <w:p w14:paraId="5C5AB59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sz w:val="28"/>
          <w:szCs w:val="28"/>
          <w:lang w:val="en-US" w:eastAsia="zh-CN"/>
        </w:rPr>
      </w:pPr>
      <w:r>
        <w:rPr>
          <w:rFonts w:hint="eastAsia"/>
          <w:sz w:val="28"/>
          <w:szCs w:val="28"/>
          <w:lang w:val="en-US" w:eastAsia="zh-CN"/>
        </w:rPr>
        <w:t>图1 图书馆2025年新购纸质图书分类图</w:t>
      </w:r>
    </w:p>
    <w:p w14:paraId="57B407BC">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480" w:firstLineChars="200"/>
        <w:textAlignment w:val="auto"/>
        <w:rPr>
          <w:rStyle w:val="12"/>
          <w:rFonts w:hint="default" w:ascii="Segoe UI" w:hAnsi="Segoe UI" w:eastAsia="Segoe UI" w:cs="Segoe UI"/>
          <w:b/>
          <w:bCs/>
          <w:i w:val="0"/>
          <w:iCs w:val="0"/>
          <w:caps w:val="0"/>
          <w:color w:val="0F1115"/>
          <w:spacing w:val="0"/>
          <w:sz w:val="24"/>
          <w:szCs w:val="24"/>
          <w:shd w:val="clear" w:fill="FFFFFF"/>
        </w:rPr>
      </w:pPr>
      <w:r>
        <w:drawing>
          <wp:anchor distT="0" distB="0" distL="114935" distR="114935" simplePos="0" relativeHeight="251665408" behindDoc="0" locked="0" layoutInCell="1" allowOverlap="1">
            <wp:simplePos x="0" y="0"/>
            <wp:positionH relativeFrom="column">
              <wp:posOffset>60325</wp:posOffset>
            </wp:positionH>
            <wp:positionV relativeFrom="paragraph">
              <wp:posOffset>46355</wp:posOffset>
            </wp:positionV>
            <wp:extent cx="5478780" cy="3071495"/>
            <wp:effectExtent l="4445" t="4445" r="22225" b="10160"/>
            <wp:wrapTopAndBottom/>
            <wp:docPr id="4" name="图表 3"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Pr>
          <w:rFonts w:hint="eastAsia"/>
          <w:lang w:val="en-US" w:eastAsia="zh-CN"/>
        </w:rPr>
        <w:t xml:space="preserve"> </w:t>
      </w:r>
      <w:r>
        <w:rPr>
          <w:rFonts w:hint="default" w:ascii="仿宋_GB2312" w:hAnsi="仿宋_GB2312" w:eastAsia="仿宋_GB2312" w:cs="仿宋_GB2312"/>
          <w:i w:val="0"/>
          <w:caps w:val="0"/>
          <w:spacing w:val="0"/>
          <w:kern w:val="0"/>
          <w:sz w:val="32"/>
          <w:szCs w:val="32"/>
          <w:highlight w:val="none"/>
          <w:shd w:val="clear" w:color="auto" w:fill="FFFFFF"/>
          <w:lang w:val="en-US" w:eastAsia="zh-CN" w:bidi="ar"/>
        </w:rPr>
        <w:t>整体来看，</w:t>
      </w:r>
      <w:r>
        <w:rPr>
          <w:rFonts w:hint="eastAsia" w:ascii="仿宋_GB2312" w:hAnsi="仿宋_GB2312" w:eastAsia="仿宋_GB2312" w:cs="仿宋_GB2312"/>
          <w:i w:val="0"/>
          <w:caps w:val="0"/>
          <w:spacing w:val="0"/>
          <w:kern w:val="0"/>
          <w:sz w:val="32"/>
          <w:szCs w:val="32"/>
          <w:highlight w:val="none"/>
          <w:shd w:val="clear" w:color="auto" w:fill="FFFFFF"/>
          <w:lang w:val="en-US" w:eastAsia="zh-CN" w:bidi="ar"/>
        </w:rPr>
        <w:t>本年度的图书</w:t>
      </w:r>
      <w:r>
        <w:rPr>
          <w:rFonts w:hint="default" w:ascii="仿宋_GB2312" w:hAnsi="仿宋_GB2312" w:eastAsia="仿宋_GB2312" w:cs="仿宋_GB2312"/>
          <w:i w:val="0"/>
          <w:caps w:val="0"/>
          <w:spacing w:val="0"/>
          <w:kern w:val="0"/>
          <w:sz w:val="32"/>
          <w:szCs w:val="32"/>
          <w:highlight w:val="none"/>
          <w:shd w:val="clear" w:color="auto" w:fill="FFFFFF"/>
          <w:lang w:val="en-US" w:eastAsia="zh-CN" w:bidi="ar"/>
        </w:rPr>
        <w:t>采购既充分响应了师生的普遍阅读兴趣，也系统覆盖了学校各专业集群的学术资源需求，体现了资源建设与学校学科布局之间的协同性与前瞻性。</w:t>
      </w:r>
    </w:p>
    <w:p w14:paraId="490124ED">
      <w:pPr>
        <w:bidi w:val="0"/>
        <w:ind w:firstLine="640" w:firstLineChars="200"/>
        <w:rPr>
          <w:rFonts w:hint="eastAsia"/>
          <w:lang w:val="en-US" w:eastAsia="zh-CN"/>
        </w:rPr>
      </w:pPr>
      <w:r>
        <w:rPr>
          <w:rFonts w:hint="eastAsia"/>
          <w:lang w:val="en-US" w:eastAsia="zh-CN"/>
        </w:rPr>
        <w:t>在电子资源建设方面，图书馆以“优化结构、深化保障、精准匹配”为原则，系统推进数字馆藏的扩容与升级，致力于构建一个与纸质资源互补、与师生现代化学习科研习惯深度融合的立体化资源体系。</w:t>
      </w:r>
    </w:p>
    <w:p w14:paraId="63C712B3">
      <w:pPr>
        <w:bidi w:val="0"/>
        <w:ind w:firstLine="640" w:firstLineChars="200"/>
        <w:rPr>
          <w:rFonts w:hint="eastAsia"/>
          <w:lang w:val="en-US" w:eastAsia="zh-CN"/>
        </w:rPr>
      </w:pPr>
      <w:r>
        <w:rPr>
          <w:rFonts w:hint="eastAsia"/>
          <w:lang w:val="en-US" w:eastAsia="zh-CN"/>
        </w:rPr>
        <w:t>本年度新增 78,500册电子图书，此举不仅显著丰富了馆藏总量，更在以下两个维度实现了战略补充：一是作为纸质资源的重要复本与延伸，有效缓解了热门图书的借阅压力与副本限制；二是引入了最新出版、小众专业及跨学科领域的数字内容，主动适应并引导了师生日益增长的电子化、移动化阅读习惯，使资源结构更趋合理与灵活。</w:t>
      </w:r>
    </w:p>
    <w:p w14:paraId="1FA76DE5">
      <w:pPr>
        <w:bidi w:val="0"/>
        <w:ind w:firstLine="640" w:firstLineChars="200"/>
        <w:rPr>
          <w:rFonts w:hint="eastAsia"/>
          <w:lang w:val="en-US" w:eastAsia="zh-CN"/>
        </w:rPr>
      </w:pPr>
      <w:r>
        <w:rPr>
          <w:rFonts w:hint="eastAsia"/>
          <w:lang w:val="en-US" w:eastAsia="zh-CN"/>
        </w:rPr>
        <w:t>除此之外，我们对数据库体系进行了系统性评估与优化，续订并升级的6个核心平台，形成了功能清晰、覆盖全面的数字服务矩阵：</w:t>
      </w:r>
    </w:p>
    <w:p w14:paraId="5595C1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lang w:val="en-US" w:eastAsia="zh-CN"/>
        </w:rPr>
      </w:pPr>
      <w:r>
        <w:rPr>
          <w:rFonts w:hint="eastAsia"/>
          <w:sz w:val="28"/>
          <w:szCs w:val="28"/>
          <w:lang w:val="en-US" w:eastAsia="zh-CN"/>
        </w:rPr>
        <w:t>表2 图书馆2025年数字服务矩阵</w:t>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91"/>
        <w:gridCol w:w="1608"/>
        <w:gridCol w:w="2469"/>
        <w:gridCol w:w="3426"/>
      </w:tblGrid>
      <w:tr w14:paraId="05764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3" w:hRule="atLeast"/>
          <w:tblHeader/>
          <w:jc w:val="center"/>
        </w:trPr>
        <w:tc>
          <w:tcPr>
            <w:tcW w:w="0" w:type="auto"/>
            <w:vMerge w:val="restart"/>
            <w:tcBorders>
              <w:top w:val="single" w:color="4874CB" w:sz="12" w:space="0"/>
              <w:bottom w:val="single" w:color="4874CB" w:sz="4" w:space="0"/>
              <w:tl2br w:val="nil"/>
            </w:tcBorders>
            <w:shd w:val="clear" w:color="auto" w:fill="91ACE0"/>
            <w:tcMar>
              <w:top w:w="72" w:type="dxa"/>
              <w:left w:w="144" w:type="dxa"/>
              <w:bottom w:w="72" w:type="dxa"/>
              <w:right w:w="144" w:type="dxa"/>
            </w:tcMar>
            <w:vAlign w:val="center"/>
          </w:tcPr>
          <w:p w14:paraId="57281D11">
            <w:pPr>
              <w:pStyle w:val="8"/>
              <w:keepNext w:val="0"/>
              <w:keepLines w:val="0"/>
              <w:widowControl/>
              <w:suppressLineNumbers w:val="0"/>
              <w:kinsoku/>
              <w:wordWrap/>
              <w:overflowPunct/>
              <w:snapToGrid w:val="0"/>
              <w:ind w:left="0" w:leftChars="0" w:right="0" w:rightChars="0" w:firstLine="0" w:firstLineChars="0"/>
              <w:jc w:val="both"/>
              <w:rPr>
                <w:rFonts w:ascii="方正仿宋_GB2312" w:eastAsia="方正仿宋_GB2312"/>
                <w:b/>
                <w:color w:val="000000"/>
                <w:sz w:val="28"/>
                <w:szCs w:val="28"/>
              </w:rPr>
            </w:pPr>
            <w:r>
              <w:rPr>
                <w:rFonts w:ascii="方正仿宋_GB2312" w:eastAsia="方正仿宋_GB2312"/>
                <w:b/>
                <w:bCs/>
                <w:color w:val="000000"/>
                <w:sz w:val="28"/>
                <w:szCs w:val="28"/>
              </w:rPr>
              <w:t>数字服务矩阵</w:t>
            </w:r>
          </w:p>
        </w:tc>
        <w:tc>
          <w:tcPr>
            <w:tcW w:w="0" w:type="auto"/>
            <w:tcBorders>
              <w:top w:val="single" w:color="4874CB" w:sz="12" w:space="0"/>
              <w:bottom w:val="single" w:color="4874CB" w:sz="4" w:space="0"/>
            </w:tcBorders>
            <w:shd w:val="clear" w:color="auto" w:fill="91ACE0"/>
            <w:tcMar>
              <w:top w:w="72" w:type="dxa"/>
              <w:left w:w="144" w:type="dxa"/>
              <w:bottom w:w="72" w:type="dxa"/>
              <w:right w:w="144" w:type="dxa"/>
            </w:tcMar>
            <w:vAlign w:val="center"/>
          </w:tcPr>
          <w:p w14:paraId="6D788AED">
            <w:pPr>
              <w:pStyle w:val="8"/>
              <w:keepNext w:val="0"/>
              <w:keepLines w:val="0"/>
              <w:widowControl/>
              <w:suppressLineNumbers w:val="0"/>
              <w:kinsoku/>
              <w:wordWrap/>
              <w:overflowPunct/>
              <w:snapToGrid w:val="0"/>
              <w:ind w:left="0" w:leftChars="0" w:right="0" w:rightChars="0" w:firstLine="0" w:firstLineChars="0"/>
              <w:jc w:val="both"/>
              <w:rPr>
                <w:rFonts w:ascii="方正仿宋_GB2312" w:eastAsia="方正仿宋_GB2312"/>
                <w:b/>
                <w:color w:val="000000"/>
                <w:sz w:val="28"/>
                <w:szCs w:val="28"/>
              </w:rPr>
            </w:pPr>
            <w:r>
              <w:rPr>
                <w:rFonts w:ascii="方正仿宋_GB2312" w:eastAsia="方正仿宋_GB2312"/>
                <w:b/>
                <w:bCs/>
                <w:color w:val="000000"/>
                <w:sz w:val="28"/>
                <w:szCs w:val="28"/>
              </w:rPr>
              <w:t>功能板块</w:t>
            </w:r>
          </w:p>
        </w:tc>
        <w:tc>
          <w:tcPr>
            <w:tcW w:w="2469" w:type="dxa"/>
            <w:tcBorders>
              <w:top w:val="single" w:color="4874CB" w:sz="12" w:space="0"/>
              <w:bottom w:val="single" w:color="4874CB" w:sz="4" w:space="0"/>
            </w:tcBorders>
            <w:shd w:val="clear" w:color="auto" w:fill="91ACE0"/>
            <w:tcMar>
              <w:top w:w="72" w:type="dxa"/>
              <w:left w:w="144" w:type="dxa"/>
              <w:bottom w:w="72" w:type="dxa"/>
              <w:right w:w="144" w:type="dxa"/>
            </w:tcMar>
            <w:vAlign w:val="center"/>
          </w:tcPr>
          <w:p w14:paraId="2A1E5CBC">
            <w:pPr>
              <w:pStyle w:val="8"/>
              <w:keepNext w:val="0"/>
              <w:keepLines w:val="0"/>
              <w:widowControl/>
              <w:suppressLineNumbers w:val="0"/>
              <w:kinsoku/>
              <w:wordWrap/>
              <w:overflowPunct/>
              <w:snapToGrid w:val="0"/>
              <w:ind w:left="0" w:leftChars="0" w:right="0" w:rightChars="0" w:firstLine="0" w:firstLineChars="0"/>
              <w:jc w:val="both"/>
              <w:rPr>
                <w:rFonts w:ascii="方正仿宋_GB2312" w:eastAsia="方正仿宋_GB2312"/>
                <w:b/>
                <w:color w:val="000000"/>
                <w:sz w:val="28"/>
                <w:szCs w:val="28"/>
              </w:rPr>
            </w:pPr>
            <w:r>
              <w:rPr>
                <w:rFonts w:ascii="方正仿宋_GB2312" w:eastAsia="方正仿宋_GB2312"/>
                <w:b/>
                <w:bCs/>
                <w:color w:val="000000"/>
                <w:sz w:val="28"/>
                <w:szCs w:val="28"/>
              </w:rPr>
              <w:t>核心平台</w:t>
            </w:r>
          </w:p>
        </w:tc>
        <w:tc>
          <w:tcPr>
            <w:tcW w:w="3426" w:type="dxa"/>
            <w:tcBorders>
              <w:top w:val="single" w:color="4874CB" w:sz="12" w:space="0"/>
              <w:bottom w:val="single" w:color="4874CB" w:sz="4" w:space="0"/>
            </w:tcBorders>
            <w:shd w:val="clear" w:color="auto" w:fill="91ACE0"/>
            <w:tcMar>
              <w:top w:w="72" w:type="dxa"/>
              <w:left w:w="144" w:type="dxa"/>
              <w:bottom w:w="72" w:type="dxa"/>
              <w:right w:w="144" w:type="dxa"/>
            </w:tcMar>
            <w:vAlign w:val="center"/>
          </w:tcPr>
          <w:p w14:paraId="00BF008D">
            <w:pPr>
              <w:pStyle w:val="8"/>
              <w:keepNext w:val="0"/>
              <w:keepLines w:val="0"/>
              <w:widowControl/>
              <w:suppressLineNumbers w:val="0"/>
              <w:kinsoku/>
              <w:wordWrap/>
              <w:overflowPunct/>
              <w:snapToGrid w:val="0"/>
              <w:ind w:left="0" w:leftChars="0" w:right="0" w:rightChars="0" w:firstLine="0" w:firstLineChars="0"/>
              <w:jc w:val="both"/>
              <w:rPr>
                <w:rFonts w:ascii="方正仿宋_GB2312" w:eastAsia="方正仿宋_GB2312"/>
                <w:b/>
                <w:color w:val="000000"/>
                <w:sz w:val="28"/>
                <w:szCs w:val="28"/>
              </w:rPr>
            </w:pPr>
            <w:r>
              <w:rPr>
                <w:rFonts w:ascii="方正仿宋_GB2312" w:eastAsia="方正仿宋_GB2312"/>
                <w:b/>
                <w:bCs/>
                <w:color w:val="000000"/>
                <w:sz w:val="28"/>
                <w:szCs w:val="28"/>
              </w:rPr>
              <w:t>服务价值</w:t>
            </w:r>
          </w:p>
        </w:tc>
      </w:tr>
      <w:tr w14:paraId="41227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2" w:hRule="atLeast"/>
          <w:tblHeader/>
          <w:jc w:val="center"/>
        </w:trPr>
        <w:tc>
          <w:tcPr>
            <w:tcW w:w="0" w:type="auto"/>
            <w:vMerge w:val="continue"/>
            <w:tcBorders>
              <w:top w:val="single" w:color="4874CB" w:sz="4" w:space="0"/>
              <w:right w:val="nil"/>
            </w:tcBorders>
            <w:shd w:val="clear" w:color="auto" w:fill="FFFFFF"/>
            <w:tcMar>
              <w:top w:w="72" w:type="dxa"/>
              <w:left w:w="144" w:type="dxa"/>
              <w:bottom w:w="72" w:type="dxa"/>
              <w:right w:w="144" w:type="dxa"/>
            </w:tcMar>
            <w:vAlign w:val="center"/>
          </w:tcPr>
          <w:p w14:paraId="4F2F40D6">
            <w:pPr>
              <w:snapToGrid w:val="0"/>
              <w:ind w:left="0" w:leftChars="0" w:right="0" w:rightChars="0" w:firstLine="0" w:firstLineChars="0"/>
              <w:jc w:val="both"/>
              <w:rPr>
                <w:rFonts w:hint="eastAsia" w:ascii="方正仿宋_GB2312" w:eastAsia="方正仿宋_GB2312"/>
                <w:b w:val="0"/>
                <w:color w:val="000000"/>
                <w:sz w:val="28"/>
                <w:szCs w:val="28"/>
              </w:rPr>
            </w:pPr>
          </w:p>
        </w:tc>
        <w:tc>
          <w:tcPr>
            <w:tcW w:w="0" w:type="auto"/>
            <w:vMerge w:val="restart"/>
            <w:tcBorders>
              <w:top w:val="single" w:color="4874CB" w:sz="4" w:space="0"/>
              <w:left w:val="nil"/>
            </w:tcBorders>
            <w:shd w:val="clear" w:color="auto" w:fill="FFFFFF"/>
            <w:tcMar>
              <w:top w:w="72" w:type="dxa"/>
              <w:left w:w="144" w:type="dxa"/>
              <w:bottom w:w="72" w:type="dxa"/>
              <w:right w:w="144" w:type="dxa"/>
            </w:tcMar>
            <w:vAlign w:val="center"/>
          </w:tcPr>
          <w:p w14:paraId="50F681D9">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学术研究核心保障</w:t>
            </w:r>
          </w:p>
        </w:tc>
        <w:tc>
          <w:tcPr>
            <w:tcW w:w="2469" w:type="dxa"/>
            <w:tcBorders>
              <w:top w:val="single" w:color="4874CB" w:sz="4" w:space="0"/>
            </w:tcBorders>
            <w:shd w:val="clear" w:color="auto" w:fill="FFFFFF"/>
            <w:tcMar>
              <w:top w:w="72" w:type="dxa"/>
              <w:left w:w="144" w:type="dxa"/>
              <w:bottom w:w="72" w:type="dxa"/>
              <w:right w:w="144" w:type="dxa"/>
            </w:tcMar>
            <w:vAlign w:val="center"/>
          </w:tcPr>
          <w:p w14:paraId="08824E9E">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中国知网（CNKI）</w:t>
            </w:r>
          </w:p>
        </w:tc>
        <w:tc>
          <w:tcPr>
            <w:tcW w:w="3426" w:type="dxa"/>
            <w:vMerge w:val="restart"/>
            <w:tcBorders>
              <w:top w:val="single" w:color="4874CB" w:sz="4" w:space="0"/>
            </w:tcBorders>
            <w:shd w:val="clear" w:color="auto" w:fill="FFFFFF"/>
            <w:tcMar>
              <w:top w:w="72" w:type="dxa"/>
              <w:left w:w="144" w:type="dxa"/>
              <w:bottom w:w="72" w:type="dxa"/>
              <w:right w:w="144" w:type="dxa"/>
            </w:tcMar>
            <w:vAlign w:val="center"/>
          </w:tcPr>
          <w:p w14:paraId="046793F7">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支撑科研立项、论文撰写，保障重点专业群深度文献需求</w:t>
            </w:r>
          </w:p>
        </w:tc>
      </w:tr>
      <w:tr w14:paraId="77E98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5" w:hRule="atLeast"/>
          <w:tblHeader/>
          <w:jc w:val="center"/>
        </w:trPr>
        <w:tc>
          <w:tcPr>
            <w:tcW w:w="0" w:type="auto"/>
            <w:vMerge w:val="continue"/>
            <w:tcBorders>
              <w:right w:val="nil"/>
            </w:tcBorders>
            <w:shd w:val="clear" w:color="auto" w:fill="FFFFFF"/>
            <w:tcMar>
              <w:top w:w="72" w:type="dxa"/>
              <w:left w:w="144" w:type="dxa"/>
              <w:bottom w:w="72" w:type="dxa"/>
              <w:right w:w="144" w:type="dxa"/>
            </w:tcMar>
            <w:vAlign w:val="center"/>
          </w:tcPr>
          <w:p w14:paraId="5F51F40E">
            <w:pPr>
              <w:snapToGrid w:val="0"/>
              <w:ind w:left="0" w:leftChars="0" w:right="0" w:rightChars="0" w:firstLine="0" w:firstLineChars="0"/>
              <w:jc w:val="both"/>
              <w:rPr>
                <w:rFonts w:hint="eastAsia" w:ascii="方正仿宋_GB2312" w:eastAsia="方正仿宋_GB2312"/>
                <w:b w:val="0"/>
                <w:color w:val="000000"/>
                <w:sz w:val="28"/>
                <w:szCs w:val="28"/>
              </w:rPr>
            </w:pPr>
          </w:p>
        </w:tc>
        <w:tc>
          <w:tcPr>
            <w:tcW w:w="0" w:type="auto"/>
            <w:vMerge w:val="continue"/>
            <w:tcBorders>
              <w:left w:val="nil"/>
            </w:tcBorders>
            <w:shd w:val="clear" w:color="auto" w:fill="FFFFFF"/>
            <w:tcMar>
              <w:top w:w="72" w:type="dxa"/>
              <w:left w:w="144" w:type="dxa"/>
              <w:bottom w:w="72" w:type="dxa"/>
              <w:right w:w="144" w:type="dxa"/>
            </w:tcMar>
            <w:vAlign w:val="center"/>
          </w:tcPr>
          <w:p w14:paraId="034FFFA1">
            <w:pPr>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p>
        </w:tc>
        <w:tc>
          <w:tcPr>
            <w:tcW w:w="2469" w:type="dxa"/>
            <w:shd w:val="clear" w:color="auto" w:fill="FFFFFF"/>
            <w:tcMar>
              <w:top w:w="72" w:type="dxa"/>
              <w:left w:w="144" w:type="dxa"/>
              <w:bottom w:w="72" w:type="dxa"/>
              <w:right w:w="144" w:type="dxa"/>
            </w:tcMar>
            <w:vAlign w:val="center"/>
          </w:tcPr>
          <w:p w14:paraId="52E97EA1">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万方（新方志库 + 成果库）</w:t>
            </w:r>
          </w:p>
        </w:tc>
        <w:tc>
          <w:tcPr>
            <w:tcW w:w="3426" w:type="dxa"/>
            <w:vMerge w:val="continue"/>
            <w:shd w:val="clear" w:color="auto" w:fill="FFFFFF"/>
            <w:tcMar>
              <w:top w:w="72" w:type="dxa"/>
              <w:left w:w="144" w:type="dxa"/>
              <w:bottom w:w="72" w:type="dxa"/>
              <w:right w:w="144" w:type="dxa"/>
            </w:tcMar>
            <w:vAlign w:val="center"/>
          </w:tcPr>
          <w:p w14:paraId="5705D865">
            <w:pPr>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p>
        </w:tc>
      </w:tr>
      <w:tr w14:paraId="6D8BA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3" w:hRule="atLeast"/>
          <w:tblHeader/>
          <w:jc w:val="center"/>
        </w:trPr>
        <w:tc>
          <w:tcPr>
            <w:tcW w:w="0" w:type="auto"/>
            <w:vMerge w:val="continue"/>
            <w:tcBorders>
              <w:right w:val="nil"/>
            </w:tcBorders>
            <w:shd w:val="clear" w:color="auto" w:fill="FFFFFF"/>
            <w:tcMar>
              <w:top w:w="72" w:type="dxa"/>
              <w:left w:w="144" w:type="dxa"/>
              <w:bottom w:w="72" w:type="dxa"/>
              <w:right w:w="144" w:type="dxa"/>
            </w:tcMar>
            <w:vAlign w:val="center"/>
          </w:tcPr>
          <w:p w14:paraId="5073FB69">
            <w:pPr>
              <w:snapToGrid w:val="0"/>
              <w:ind w:left="0" w:leftChars="0" w:right="0" w:rightChars="0" w:firstLine="0" w:firstLineChars="0"/>
              <w:jc w:val="both"/>
              <w:rPr>
                <w:rFonts w:hint="eastAsia" w:ascii="方正仿宋_GB2312" w:eastAsia="方正仿宋_GB2312"/>
                <w:b w:val="0"/>
                <w:color w:val="000000"/>
                <w:sz w:val="28"/>
                <w:szCs w:val="28"/>
              </w:rPr>
            </w:pPr>
          </w:p>
        </w:tc>
        <w:tc>
          <w:tcPr>
            <w:tcW w:w="0" w:type="auto"/>
            <w:vMerge w:val="continue"/>
            <w:tcBorders>
              <w:left w:val="nil"/>
            </w:tcBorders>
            <w:shd w:val="clear" w:color="auto" w:fill="FFFFFF"/>
            <w:tcMar>
              <w:top w:w="72" w:type="dxa"/>
              <w:left w:w="144" w:type="dxa"/>
              <w:bottom w:w="72" w:type="dxa"/>
              <w:right w:w="144" w:type="dxa"/>
            </w:tcMar>
            <w:vAlign w:val="center"/>
          </w:tcPr>
          <w:p w14:paraId="2D5BBF84">
            <w:pPr>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p>
        </w:tc>
        <w:tc>
          <w:tcPr>
            <w:tcW w:w="2469" w:type="dxa"/>
            <w:shd w:val="clear" w:color="auto" w:fill="FFFFFF"/>
            <w:tcMar>
              <w:top w:w="72" w:type="dxa"/>
              <w:left w:w="144" w:type="dxa"/>
              <w:bottom w:w="72" w:type="dxa"/>
              <w:right w:w="144" w:type="dxa"/>
            </w:tcMar>
            <w:vAlign w:val="center"/>
          </w:tcPr>
          <w:p w14:paraId="15F21B5E">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超星独秀学术搜索</w:t>
            </w:r>
          </w:p>
        </w:tc>
        <w:tc>
          <w:tcPr>
            <w:tcW w:w="3426" w:type="dxa"/>
            <w:vMerge w:val="continue"/>
            <w:shd w:val="clear" w:color="auto" w:fill="FFFFFF"/>
            <w:tcMar>
              <w:top w:w="72" w:type="dxa"/>
              <w:left w:w="144" w:type="dxa"/>
              <w:bottom w:w="72" w:type="dxa"/>
              <w:right w:w="144" w:type="dxa"/>
            </w:tcMar>
            <w:vAlign w:val="center"/>
          </w:tcPr>
          <w:p w14:paraId="6D3145C5">
            <w:pPr>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p>
        </w:tc>
      </w:tr>
      <w:tr w14:paraId="4C91F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3" w:hRule="atLeast"/>
          <w:tblHeader/>
          <w:jc w:val="center"/>
        </w:trPr>
        <w:tc>
          <w:tcPr>
            <w:tcW w:w="0" w:type="auto"/>
            <w:vMerge w:val="continue"/>
            <w:tcBorders>
              <w:right w:val="nil"/>
            </w:tcBorders>
            <w:shd w:val="clear" w:color="auto" w:fill="FFFFFF"/>
            <w:tcMar>
              <w:top w:w="72" w:type="dxa"/>
              <w:left w:w="144" w:type="dxa"/>
              <w:bottom w:w="72" w:type="dxa"/>
              <w:right w:w="144" w:type="dxa"/>
            </w:tcMar>
            <w:vAlign w:val="center"/>
          </w:tcPr>
          <w:p w14:paraId="2392CB97">
            <w:pPr>
              <w:snapToGrid w:val="0"/>
              <w:ind w:left="0" w:leftChars="0" w:right="0" w:rightChars="0" w:firstLine="0" w:firstLineChars="0"/>
              <w:jc w:val="both"/>
              <w:rPr>
                <w:rFonts w:hint="eastAsia" w:ascii="方正仿宋_GB2312" w:eastAsia="方正仿宋_GB2312"/>
                <w:b w:val="0"/>
                <w:color w:val="000000"/>
                <w:sz w:val="28"/>
                <w:szCs w:val="28"/>
              </w:rPr>
            </w:pPr>
          </w:p>
        </w:tc>
        <w:tc>
          <w:tcPr>
            <w:tcW w:w="0" w:type="auto"/>
            <w:vMerge w:val="restart"/>
            <w:tcBorders>
              <w:left w:val="nil"/>
            </w:tcBorders>
            <w:shd w:val="clear" w:color="auto" w:fill="FFFFFF"/>
            <w:tcMar>
              <w:top w:w="72" w:type="dxa"/>
              <w:left w:w="144" w:type="dxa"/>
              <w:bottom w:w="72" w:type="dxa"/>
              <w:right w:w="144" w:type="dxa"/>
            </w:tcMar>
            <w:vAlign w:val="center"/>
          </w:tcPr>
          <w:p w14:paraId="23153A26">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电子书阅读与知识发现</w:t>
            </w:r>
          </w:p>
        </w:tc>
        <w:tc>
          <w:tcPr>
            <w:tcW w:w="2469" w:type="dxa"/>
            <w:shd w:val="clear" w:color="auto" w:fill="FFFFFF"/>
            <w:tcMar>
              <w:top w:w="72" w:type="dxa"/>
              <w:left w:w="144" w:type="dxa"/>
              <w:bottom w:w="72" w:type="dxa"/>
              <w:right w:w="144" w:type="dxa"/>
            </w:tcMar>
            <w:vAlign w:val="center"/>
          </w:tcPr>
          <w:p w14:paraId="4407F1A9">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超星汇雅电子书</w:t>
            </w:r>
          </w:p>
        </w:tc>
        <w:tc>
          <w:tcPr>
            <w:tcW w:w="3426" w:type="dxa"/>
            <w:vMerge w:val="restart"/>
            <w:shd w:val="clear" w:color="auto" w:fill="FFFFFF"/>
            <w:tcMar>
              <w:top w:w="72" w:type="dxa"/>
              <w:left w:w="144" w:type="dxa"/>
              <w:bottom w:w="72" w:type="dxa"/>
              <w:right w:w="144" w:type="dxa"/>
            </w:tcMar>
            <w:vAlign w:val="center"/>
          </w:tcPr>
          <w:p w14:paraId="610CA0E8">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纸电联动拓展阅读资源</w:t>
            </w:r>
            <w:r>
              <w:rPr>
                <w:rFonts w:hint="eastAsia" w:cs="方正仿宋_GB2312"/>
                <w:b w:val="0"/>
                <w:color w:val="000000"/>
                <w:sz w:val="28"/>
                <w:szCs w:val="28"/>
                <w:lang w:eastAsia="zh-CN"/>
              </w:rPr>
              <w:t>，</w:t>
            </w:r>
            <w:r>
              <w:rPr>
                <w:rFonts w:hint="eastAsia" w:ascii="方正仿宋_GB2312" w:hAnsi="方正仿宋_GB2312" w:eastAsia="方正仿宋_GB2312" w:cs="方正仿宋_GB2312"/>
                <w:b w:val="0"/>
                <w:color w:val="000000"/>
                <w:sz w:val="28"/>
                <w:szCs w:val="28"/>
              </w:rPr>
              <w:t>满足跨终端、随时随地阅读需求</w:t>
            </w:r>
          </w:p>
        </w:tc>
      </w:tr>
      <w:tr w14:paraId="2E7CF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4" w:hRule="atLeast"/>
          <w:tblHeader/>
          <w:jc w:val="center"/>
        </w:trPr>
        <w:tc>
          <w:tcPr>
            <w:tcW w:w="0" w:type="auto"/>
            <w:vMerge w:val="continue"/>
            <w:tcBorders>
              <w:right w:val="nil"/>
            </w:tcBorders>
            <w:shd w:val="clear" w:color="auto" w:fill="FFFFFF"/>
            <w:tcMar>
              <w:top w:w="72" w:type="dxa"/>
              <w:left w:w="144" w:type="dxa"/>
              <w:bottom w:w="72" w:type="dxa"/>
              <w:right w:w="144" w:type="dxa"/>
            </w:tcMar>
            <w:vAlign w:val="center"/>
          </w:tcPr>
          <w:p w14:paraId="3A6B3F4C">
            <w:pPr>
              <w:snapToGrid w:val="0"/>
              <w:ind w:left="0" w:leftChars="0" w:right="0" w:rightChars="0" w:firstLine="0" w:firstLineChars="0"/>
              <w:jc w:val="both"/>
              <w:rPr>
                <w:rFonts w:hint="eastAsia" w:ascii="方正仿宋_GB2312" w:eastAsia="方正仿宋_GB2312"/>
                <w:b w:val="0"/>
                <w:color w:val="000000"/>
                <w:sz w:val="28"/>
                <w:szCs w:val="28"/>
              </w:rPr>
            </w:pPr>
          </w:p>
        </w:tc>
        <w:tc>
          <w:tcPr>
            <w:tcW w:w="0" w:type="auto"/>
            <w:vMerge w:val="continue"/>
            <w:tcBorders>
              <w:left w:val="nil"/>
            </w:tcBorders>
            <w:shd w:val="clear" w:color="auto" w:fill="FFFFFF"/>
            <w:tcMar>
              <w:top w:w="72" w:type="dxa"/>
              <w:left w:w="144" w:type="dxa"/>
              <w:bottom w:w="72" w:type="dxa"/>
              <w:right w:w="144" w:type="dxa"/>
            </w:tcMar>
            <w:vAlign w:val="center"/>
          </w:tcPr>
          <w:p w14:paraId="0571DDD2">
            <w:pPr>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p>
        </w:tc>
        <w:tc>
          <w:tcPr>
            <w:tcW w:w="2469" w:type="dxa"/>
            <w:shd w:val="clear" w:color="auto" w:fill="FFFFFF"/>
            <w:tcMar>
              <w:top w:w="72" w:type="dxa"/>
              <w:left w:w="144" w:type="dxa"/>
              <w:bottom w:w="72" w:type="dxa"/>
              <w:right w:w="144" w:type="dxa"/>
            </w:tcMar>
            <w:vAlign w:val="center"/>
          </w:tcPr>
          <w:p w14:paraId="568E2AB1">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畅想之星电子书平台</w:t>
            </w:r>
          </w:p>
        </w:tc>
        <w:tc>
          <w:tcPr>
            <w:tcW w:w="3426" w:type="dxa"/>
            <w:vMerge w:val="continue"/>
            <w:shd w:val="clear" w:color="auto" w:fill="FFFFFF"/>
            <w:tcMar>
              <w:top w:w="72" w:type="dxa"/>
              <w:left w:w="144" w:type="dxa"/>
              <w:bottom w:w="72" w:type="dxa"/>
              <w:right w:w="144" w:type="dxa"/>
            </w:tcMar>
            <w:vAlign w:val="center"/>
          </w:tcPr>
          <w:p w14:paraId="74CB4B8A">
            <w:pPr>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p>
        </w:tc>
      </w:tr>
      <w:tr w14:paraId="7723E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18" w:hRule="atLeast"/>
          <w:tblHeader/>
          <w:jc w:val="center"/>
        </w:trPr>
        <w:tc>
          <w:tcPr>
            <w:tcW w:w="0" w:type="auto"/>
            <w:vMerge w:val="continue"/>
            <w:tcBorders>
              <w:bottom w:val="single" w:color="4874CB" w:sz="12" w:space="0"/>
              <w:right w:val="nil"/>
            </w:tcBorders>
            <w:shd w:val="clear" w:color="auto" w:fill="FFFFFF"/>
            <w:tcMar>
              <w:top w:w="72" w:type="dxa"/>
              <w:left w:w="144" w:type="dxa"/>
              <w:bottom w:w="72" w:type="dxa"/>
              <w:right w:w="144" w:type="dxa"/>
            </w:tcMar>
            <w:vAlign w:val="center"/>
          </w:tcPr>
          <w:p w14:paraId="1A893786">
            <w:pPr>
              <w:snapToGrid w:val="0"/>
              <w:ind w:left="0" w:leftChars="0" w:right="0" w:rightChars="0" w:firstLine="0" w:firstLineChars="0"/>
              <w:jc w:val="both"/>
              <w:rPr>
                <w:rFonts w:hint="eastAsia" w:ascii="方正仿宋_GB2312" w:eastAsia="方正仿宋_GB2312"/>
                <w:b w:val="0"/>
                <w:color w:val="000000"/>
                <w:sz w:val="28"/>
                <w:szCs w:val="28"/>
              </w:rPr>
            </w:pPr>
          </w:p>
        </w:tc>
        <w:tc>
          <w:tcPr>
            <w:tcW w:w="0" w:type="auto"/>
            <w:tcBorders>
              <w:left w:val="nil"/>
              <w:bottom w:val="single" w:color="4874CB" w:sz="12" w:space="0"/>
            </w:tcBorders>
            <w:shd w:val="clear" w:color="auto" w:fill="FFFFFF"/>
            <w:tcMar>
              <w:top w:w="72" w:type="dxa"/>
              <w:left w:w="144" w:type="dxa"/>
              <w:bottom w:w="72" w:type="dxa"/>
              <w:right w:w="144" w:type="dxa"/>
            </w:tcMar>
            <w:vAlign w:val="center"/>
          </w:tcPr>
          <w:p w14:paraId="61DA1996">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大众阅读与人文素养提升</w:t>
            </w:r>
          </w:p>
        </w:tc>
        <w:tc>
          <w:tcPr>
            <w:tcW w:w="2469" w:type="dxa"/>
            <w:tcBorders>
              <w:bottom w:val="single" w:color="4874CB" w:sz="12" w:space="0"/>
            </w:tcBorders>
            <w:shd w:val="clear" w:color="auto" w:fill="FFFFFF"/>
            <w:tcMar>
              <w:top w:w="72" w:type="dxa"/>
              <w:left w:w="144" w:type="dxa"/>
              <w:bottom w:w="72" w:type="dxa"/>
              <w:right w:w="144" w:type="dxa"/>
            </w:tcMar>
            <w:vAlign w:val="center"/>
          </w:tcPr>
          <w:p w14:paraId="69FD8AC1">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博看书苑</w:t>
            </w:r>
          </w:p>
        </w:tc>
        <w:tc>
          <w:tcPr>
            <w:tcW w:w="3426" w:type="dxa"/>
            <w:tcBorders>
              <w:bottom w:val="single" w:color="4874CB" w:sz="12" w:space="0"/>
            </w:tcBorders>
            <w:shd w:val="clear" w:color="auto" w:fill="FFFFFF"/>
            <w:tcMar>
              <w:top w:w="72" w:type="dxa"/>
              <w:left w:w="144" w:type="dxa"/>
              <w:bottom w:w="72" w:type="dxa"/>
              <w:right w:w="144" w:type="dxa"/>
            </w:tcMar>
            <w:vAlign w:val="center"/>
          </w:tcPr>
          <w:p w14:paraId="3D0DCCD5">
            <w:pPr>
              <w:pStyle w:val="8"/>
              <w:keepNext w:val="0"/>
              <w:keepLines w:val="0"/>
              <w:widowControl/>
              <w:suppressLineNumbers w:val="0"/>
              <w:kinsoku/>
              <w:wordWrap/>
              <w:overflowPunct/>
              <w:snapToGrid w:val="0"/>
              <w:ind w:left="0" w:leftChars="0" w:right="0" w:rightChars="0" w:firstLine="0" w:firstLineChars="0"/>
              <w:jc w:val="both"/>
              <w:rPr>
                <w:rFonts w:hint="eastAsia" w:ascii="方正仿宋_GB2312" w:hAnsi="方正仿宋_GB2312" w:eastAsia="方正仿宋_GB2312" w:cs="方正仿宋_GB2312"/>
                <w:b w:val="0"/>
                <w:color w:val="000000"/>
                <w:sz w:val="28"/>
                <w:szCs w:val="28"/>
              </w:rPr>
            </w:pPr>
            <w:r>
              <w:rPr>
                <w:rFonts w:hint="eastAsia" w:ascii="方正仿宋_GB2312" w:hAnsi="方正仿宋_GB2312" w:eastAsia="方正仿宋_GB2312" w:cs="方正仿宋_GB2312"/>
                <w:b w:val="0"/>
                <w:color w:val="000000"/>
                <w:sz w:val="28"/>
                <w:szCs w:val="28"/>
              </w:rPr>
              <w:t>提供期刊、畅销书、有声资源，培育人文素养，助力校园文化建设</w:t>
            </w:r>
          </w:p>
        </w:tc>
      </w:tr>
    </w:tbl>
    <w:p w14:paraId="3639CAD3">
      <w:pPr>
        <w:bidi w:val="0"/>
        <w:ind w:firstLine="640" w:firstLineChars="200"/>
        <w:rPr>
          <w:rFonts w:hint="default" w:ascii="Segoe UI" w:hAnsi="Segoe UI" w:eastAsia="Segoe UI" w:cs="Segoe UI"/>
          <w:i w:val="0"/>
          <w:iCs w:val="0"/>
          <w:caps w:val="0"/>
          <w:color w:val="0F1115"/>
          <w:spacing w:val="0"/>
          <w:sz w:val="24"/>
          <w:szCs w:val="24"/>
          <w:shd w:val="clear" w:fill="FFFFFF"/>
        </w:rPr>
      </w:pPr>
      <w:r>
        <w:rPr>
          <w:rFonts w:hint="eastAsia"/>
          <w:lang w:val="en-US" w:eastAsia="zh-CN"/>
        </w:rPr>
        <w:t>2025年，我馆的资源建设遵循“支撑专业、服务通识、促进科研”的逻辑：一方面，重点数据库紧密对接了机电、人工智能、医学护理、经济管理等学院的学术需求；另一方面，丰富的电子书与大众阅读平台则呼应了全校师生广泛的兴趣与自我提升需要。这种“纸电协同、各有侧重”的战略布局，标志着图书馆的资源保障体系正从传统的“收藏”向主动的“赋能”与“服务”转型。</w:t>
      </w:r>
    </w:p>
    <w:p w14:paraId="55EC257E">
      <w:pPr>
        <w:pStyle w:val="3"/>
        <w:bidi w:val="0"/>
        <w:rPr>
          <w:rFonts w:hint="default"/>
          <w:lang w:val="en-US" w:eastAsia="zh-CN"/>
        </w:rPr>
      </w:pPr>
      <w:bookmarkStart w:id="5" w:name="_Toc28086"/>
      <w:r>
        <w:rPr>
          <w:rFonts w:hint="default"/>
          <w:lang w:val="en-US" w:eastAsia="zh-CN"/>
        </w:rPr>
        <w:t>四、 读者服务与利用情况</w:t>
      </w:r>
      <w:bookmarkEnd w:id="5"/>
    </w:p>
    <w:p w14:paraId="581C1E8E">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2025年，图书馆始终将读者置于服务的中心。通过持续追踪与分析各类服务数据，不仅量化了工作的成效，更深入洞察了师生的行为模式与需求变化，为服务的精准化、智能化升级提供了科学依据。</w:t>
      </w:r>
    </w:p>
    <w:p w14:paraId="28716EBB">
      <w:pPr>
        <w:pStyle w:val="4"/>
        <w:bidi w:val="0"/>
        <w:ind w:firstLine="640" w:firstLineChars="200"/>
        <w:rPr>
          <w:rFonts w:hint="eastAsia"/>
        </w:rPr>
      </w:pPr>
      <w:bookmarkStart w:id="6" w:name="_Toc5824"/>
      <w:r>
        <w:rPr>
          <w:rFonts w:hint="eastAsia"/>
        </w:rPr>
        <w:t>（一） 服务全景：总体规模与活跃度</w:t>
      </w:r>
      <w:bookmarkEnd w:id="6"/>
    </w:p>
    <w:p w14:paraId="618CD61D">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2025年，图书馆作为校园学习中心与公共文化空间的双重职能得到充分发挥。全年累计接待读者 473973人次，这一数据直观反映了图书馆服务覆盖的广度与公众吸引力。入馆数据</w:t>
      </w:r>
      <w:r>
        <w:rPr>
          <w:rFonts w:hint="eastAsia" w:cs="方正仿宋_GB2312"/>
          <w:kern w:val="2"/>
          <w:sz w:val="32"/>
          <w:szCs w:val="32"/>
          <w:lang w:val="en-US" w:eastAsia="zh-CN" w:bidi="ar-SA"/>
        </w:rPr>
        <w:t>呈现</w:t>
      </w:r>
      <w:r>
        <w:rPr>
          <w:rFonts w:hint="default" w:ascii="方正仿宋_GB2312" w:hAnsi="方正仿宋_GB2312" w:eastAsia="方正仿宋_GB2312" w:cs="方正仿宋_GB2312"/>
          <w:kern w:val="2"/>
          <w:sz w:val="32"/>
          <w:szCs w:val="32"/>
          <w:lang w:val="en-US" w:eastAsia="zh-CN" w:bidi="ar-SA"/>
        </w:rPr>
        <w:t>以下</w:t>
      </w:r>
      <w:r>
        <w:rPr>
          <w:rFonts w:hint="eastAsia" w:cs="方正仿宋_GB2312"/>
          <w:kern w:val="2"/>
          <w:sz w:val="32"/>
          <w:szCs w:val="32"/>
          <w:lang w:val="en-US" w:eastAsia="zh-CN" w:bidi="ar-SA"/>
        </w:rPr>
        <w:t>两个</w:t>
      </w:r>
      <w:r>
        <w:rPr>
          <w:rFonts w:hint="default" w:ascii="方正仿宋_GB2312" w:hAnsi="方正仿宋_GB2312" w:eastAsia="方正仿宋_GB2312" w:cs="方正仿宋_GB2312"/>
          <w:kern w:val="2"/>
          <w:sz w:val="32"/>
          <w:szCs w:val="32"/>
          <w:lang w:val="en-US" w:eastAsia="zh-CN" w:bidi="ar-SA"/>
        </w:rPr>
        <w:t>特征：</w:t>
      </w:r>
    </w:p>
    <w:p w14:paraId="15E8BABC">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校园学习空间活力充沛</w:t>
      </w:r>
      <w:r>
        <w:rPr>
          <w:rFonts w:hint="eastAsia" w:cs="方正仿宋_GB2312"/>
          <w:kern w:val="2"/>
          <w:sz w:val="32"/>
          <w:szCs w:val="32"/>
          <w:lang w:val="en-US" w:eastAsia="zh-CN" w:bidi="ar-SA"/>
        </w:rPr>
        <w:t>。</w:t>
      </w:r>
      <w:r>
        <w:rPr>
          <w:rFonts w:hint="default" w:ascii="方正仿宋_GB2312" w:hAnsi="方正仿宋_GB2312" w:eastAsia="方正仿宋_GB2312" w:cs="方正仿宋_GB2312"/>
          <w:kern w:val="2"/>
          <w:sz w:val="32"/>
          <w:szCs w:val="32"/>
          <w:lang w:val="en-US" w:eastAsia="zh-CN" w:bidi="ar-SA"/>
        </w:rPr>
        <w:t>高新东区与西区图书馆主要服务全校师生，全年共计接待读者约 9.5万人次。以约250个开放日计算，日均到馆约380人次，持续活跃的入馆数据，反映出图书馆作为校园“第二课堂”深受学生认可，体现了浓厚的学习氛围与师生高昂的学习热情。</w:t>
      </w:r>
    </w:p>
    <w:p w14:paraId="55E9DC36">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公共文化服务主阵地作用显著</w:t>
      </w:r>
      <w:r>
        <w:rPr>
          <w:rFonts w:hint="eastAsia" w:cs="方正仿宋_GB2312"/>
          <w:kern w:val="2"/>
          <w:sz w:val="32"/>
          <w:szCs w:val="32"/>
          <w:lang w:val="en-US" w:eastAsia="zh-CN" w:bidi="ar-SA"/>
        </w:rPr>
        <w:t>。</w:t>
      </w:r>
      <w:r>
        <w:rPr>
          <w:rFonts w:hint="default" w:ascii="方正仿宋_GB2312" w:hAnsi="方正仿宋_GB2312" w:eastAsia="方正仿宋_GB2312" w:cs="方正仿宋_GB2312"/>
          <w:kern w:val="2"/>
          <w:sz w:val="32"/>
          <w:szCs w:val="32"/>
          <w:lang w:val="en-US" w:eastAsia="zh-CN" w:bidi="ar-SA"/>
        </w:rPr>
        <w:t>沁园校区图书馆全年接待读者 378815人次，占总入馆人次的近80%。这主要得益于其面向全市市民开放的服务定位，庞大的社会读者基数与稳定的到访习惯，使其持续扮演着区域公共文化服务核心枢纽的角色。</w:t>
      </w:r>
    </w:p>
    <w:p w14:paraId="085EEB67">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drawing>
          <wp:inline distT="0" distB="0" distL="114300" distR="114300">
            <wp:extent cx="4453890" cy="2104390"/>
            <wp:effectExtent l="0" t="0" r="3810" b="10160"/>
            <wp:docPr id="3" name="图片 3" descr="生成海报：展示入馆人次和新增读者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成海报：展示入馆人次和新增读者证"/>
                    <pic:cNvPicPr>
                      <a:picLocks noChangeAspect="1"/>
                    </pic:cNvPicPr>
                  </pic:nvPicPr>
                  <pic:blipFill>
                    <a:blip r:embed="rId6"/>
                    <a:srcRect t="6128" r="2224" b="11718"/>
                    <a:stretch>
                      <a:fillRect/>
                    </a:stretch>
                  </pic:blipFill>
                  <pic:spPr>
                    <a:xfrm>
                      <a:off x="0" y="0"/>
                      <a:ext cx="4453890" cy="2104390"/>
                    </a:xfrm>
                    <a:prstGeom prst="rect">
                      <a:avLst/>
                    </a:prstGeom>
                  </pic:spPr>
                </pic:pic>
              </a:graphicData>
            </a:graphic>
          </wp:inline>
        </w:drawing>
      </w:r>
    </w:p>
    <w:p w14:paraId="1406A8DC">
      <w:pPr>
        <w:pStyle w:val="8"/>
        <w:keepNext w:val="0"/>
        <w:keepLines w:val="0"/>
        <w:widowControl/>
        <w:suppressLineNumbers w:val="0"/>
        <w:spacing w:before="0" w:beforeAutospacing="0" w:after="120" w:afterAutospacing="0"/>
        <w:ind w:left="0" w:right="0" w:firstLine="640" w:firstLineChars="200"/>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在服务覆盖面拓展上，全年新增办理读者证</w:t>
      </w:r>
      <w:r>
        <w:rPr>
          <w:rFonts w:hint="eastAsia" w:cs="方正仿宋_GB2312"/>
          <w:kern w:val="2"/>
          <w:sz w:val="32"/>
          <w:szCs w:val="32"/>
          <w:lang w:val="en-US" w:eastAsia="zh-CN" w:bidi="ar-SA"/>
        </w:rPr>
        <w:t>7525</w:t>
      </w:r>
      <w:r>
        <w:rPr>
          <w:rFonts w:hint="default" w:ascii="方正仿宋_GB2312" w:hAnsi="方正仿宋_GB2312" w:eastAsia="方正仿宋_GB2312" w:cs="方正仿宋_GB2312"/>
          <w:kern w:val="2"/>
          <w:sz w:val="32"/>
          <w:szCs w:val="32"/>
          <w:lang w:val="en-US" w:eastAsia="zh-CN" w:bidi="ar-SA"/>
        </w:rPr>
        <w:t>张，成效显著。其中，高新校区为师生办证</w:t>
      </w:r>
      <w:r>
        <w:rPr>
          <w:rFonts w:hint="eastAsia" w:cs="方正仿宋_GB2312"/>
          <w:kern w:val="2"/>
          <w:sz w:val="32"/>
          <w:szCs w:val="32"/>
          <w:highlight w:val="none"/>
          <w:lang w:val="en-US" w:eastAsia="zh-CN" w:bidi="ar-SA"/>
        </w:rPr>
        <w:t>6552</w:t>
      </w:r>
      <w:r>
        <w:rPr>
          <w:rFonts w:hint="default" w:ascii="方正仿宋_GB2312" w:hAnsi="方正仿宋_GB2312" w:eastAsia="方正仿宋_GB2312" w:cs="方正仿宋_GB2312"/>
          <w:kern w:val="2"/>
          <w:sz w:val="32"/>
          <w:szCs w:val="32"/>
          <w:lang w:val="en-US" w:eastAsia="zh-CN" w:bidi="ar-SA"/>
        </w:rPr>
        <w:t>张，以</w:t>
      </w:r>
      <w:r>
        <w:rPr>
          <w:rFonts w:hint="eastAsia" w:cs="方正仿宋_GB2312"/>
          <w:kern w:val="2"/>
          <w:sz w:val="32"/>
          <w:szCs w:val="32"/>
          <w:lang w:val="en-US" w:eastAsia="zh-CN" w:bidi="ar-SA"/>
        </w:rPr>
        <w:t>今年</w:t>
      </w:r>
      <w:r>
        <w:rPr>
          <w:rFonts w:hint="default" w:ascii="方正仿宋_GB2312" w:hAnsi="方正仿宋_GB2312" w:eastAsia="方正仿宋_GB2312" w:cs="方正仿宋_GB2312"/>
          <w:kern w:val="2"/>
          <w:sz w:val="32"/>
          <w:szCs w:val="32"/>
          <w:lang w:val="en-US" w:eastAsia="zh-CN" w:bidi="ar-SA"/>
        </w:rPr>
        <w:t>入学新生</w:t>
      </w:r>
      <w:r>
        <w:rPr>
          <w:rFonts w:hint="eastAsia" w:cs="方正仿宋_GB2312"/>
          <w:kern w:val="2"/>
          <w:sz w:val="32"/>
          <w:szCs w:val="32"/>
          <w:lang w:val="en-US" w:eastAsia="zh-CN" w:bidi="ar-SA"/>
        </w:rPr>
        <w:t>及新入职教师</w:t>
      </w:r>
      <w:r>
        <w:rPr>
          <w:rFonts w:hint="default" w:ascii="方正仿宋_GB2312" w:hAnsi="方正仿宋_GB2312" w:eastAsia="方正仿宋_GB2312" w:cs="方正仿宋_GB2312"/>
          <w:kern w:val="2"/>
          <w:sz w:val="32"/>
          <w:szCs w:val="32"/>
          <w:lang w:val="en-US" w:eastAsia="zh-CN" w:bidi="ar-SA"/>
        </w:rPr>
        <w:t>为参照，办证率高达</w:t>
      </w:r>
      <w:r>
        <w:rPr>
          <w:rFonts w:hint="eastAsia" w:cs="方正仿宋_GB2312"/>
          <w:kern w:val="2"/>
          <w:sz w:val="32"/>
          <w:szCs w:val="32"/>
          <w:lang w:val="en-US" w:eastAsia="zh-CN" w:bidi="ar-SA"/>
        </w:rPr>
        <w:t>99.8</w:t>
      </w:r>
      <w:r>
        <w:rPr>
          <w:rFonts w:hint="default" w:ascii="方正仿宋_GB2312" w:hAnsi="方正仿宋_GB2312" w:eastAsia="方正仿宋_GB2312" w:cs="方正仿宋_GB2312"/>
          <w:kern w:val="2"/>
          <w:sz w:val="32"/>
          <w:szCs w:val="32"/>
          <w:lang w:val="en-US" w:eastAsia="zh-CN" w:bidi="ar-SA"/>
        </w:rPr>
        <w:t>%，这既反映了</w:t>
      </w:r>
      <w:r>
        <w:rPr>
          <w:rFonts w:hint="eastAsia" w:cs="方正仿宋_GB2312"/>
          <w:kern w:val="2"/>
          <w:sz w:val="32"/>
          <w:szCs w:val="32"/>
          <w:lang w:val="en-US" w:eastAsia="zh-CN" w:bidi="ar-SA"/>
        </w:rPr>
        <w:t>师生</w:t>
      </w:r>
      <w:r>
        <w:rPr>
          <w:rFonts w:hint="default" w:ascii="方正仿宋_GB2312" w:hAnsi="方正仿宋_GB2312" w:eastAsia="方正仿宋_GB2312" w:cs="方正仿宋_GB2312"/>
          <w:kern w:val="2"/>
          <w:sz w:val="32"/>
          <w:szCs w:val="32"/>
          <w:lang w:val="en-US" w:eastAsia="zh-CN" w:bidi="ar-SA"/>
        </w:rPr>
        <w:t>对图书馆资源的强烈需求与利用热情，也侧面印证了</w:t>
      </w:r>
      <w:r>
        <w:rPr>
          <w:rFonts w:hint="eastAsia" w:cs="方正仿宋_GB2312"/>
          <w:kern w:val="2"/>
          <w:sz w:val="32"/>
          <w:szCs w:val="32"/>
          <w:lang w:val="en-US" w:eastAsia="zh-CN" w:bidi="ar-SA"/>
        </w:rPr>
        <w:t>我馆</w:t>
      </w:r>
      <w:r>
        <w:rPr>
          <w:rFonts w:hint="default" w:ascii="方正仿宋_GB2312" w:hAnsi="方正仿宋_GB2312" w:eastAsia="方正仿宋_GB2312" w:cs="方正仿宋_GB2312"/>
          <w:kern w:val="2"/>
          <w:sz w:val="32"/>
          <w:szCs w:val="32"/>
          <w:lang w:val="en-US" w:eastAsia="zh-CN" w:bidi="ar-SA"/>
        </w:rPr>
        <w:t>新生入馆教育等工作的扎实成效。与此同时，沁园校区为社会读者办理证件973张，这一数据说明了图书馆在履行高校社会责任、向市民开放学术与文化资源方面持续发挥着积极作用。</w:t>
      </w:r>
    </w:p>
    <w:p w14:paraId="6531E3F4">
      <w:pPr>
        <w:pStyle w:val="4"/>
        <w:bidi w:val="0"/>
        <w:ind w:firstLine="640" w:firstLineChars="200"/>
        <w:rPr>
          <w:rFonts w:hint="default"/>
          <w:lang w:val="en-US" w:eastAsia="zh-CN"/>
        </w:rPr>
      </w:pPr>
      <w:bookmarkStart w:id="7" w:name="_Toc25793"/>
      <w:r>
        <w:rPr>
          <w:rFonts w:hint="default"/>
        </w:rPr>
        <w:t>（二） 纸本阅读：</w:t>
      </w:r>
      <w:r>
        <w:rPr>
          <w:rFonts w:hint="eastAsia"/>
          <w:lang w:val="en-US" w:eastAsia="zh-CN"/>
        </w:rPr>
        <w:t>阅读</w:t>
      </w:r>
      <w:r>
        <w:rPr>
          <w:rFonts w:hint="default"/>
        </w:rPr>
        <w:t>趋势</w:t>
      </w:r>
      <w:r>
        <w:rPr>
          <w:rFonts w:hint="eastAsia"/>
          <w:lang w:val="en-US" w:eastAsia="zh-CN"/>
        </w:rPr>
        <w:t>与</w:t>
      </w:r>
      <w:r>
        <w:rPr>
          <w:rFonts w:hint="default"/>
        </w:rPr>
        <w:t>偏好</w:t>
      </w:r>
      <w:bookmarkEnd w:id="7"/>
    </w:p>
    <w:p w14:paraId="62FC4D33">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3" w:firstLineChars="200"/>
        <w:textAlignment w:val="auto"/>
        <w:rPr>
          <w:rFonts w:hint="eastAsia" w:ascii="方正仿宋_GB2312" w:hAnsi="方正仿宋_GB2312" w:eastAsia="方正仿宋_GB2312" w:cs="方正仿宋_GB2312"/>
          <w:b/>
          <w:bCs/>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1. 借阅总量与趋势分析</w:t>
      </w:r>
    </w:p>
    <w:p w14:paraId="7786C23E">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2025年，图书馆纸质文献流通保持高度活跃，全年累计完成借阅 78558人次，流通 175374册次。作为面向师生与市民共同开放的知识空间，这一总体趋势反映了社会大众与校园读者共同构成的、稳定的阅读需求。</w:t>
      </w:r>
    </w:p>
    <w:p w14:paraId="39629D0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仿宋_GB2312" w:hAnsi="方正仿宋_GB2312" w:eastAsia="方正仿宋_GB2312" w:cs="方正仿宋_GB2312"/>
          <w:kern w:val="2"/>
          <w:sz w:val="32"/>
          <w:szCs w:val="32"/>
          <w:lang w:val="en-US" w:eastAsia="zh-CN" w:bidi="ar-SA"/>
        </w:rPr>
      </w:pPr>
      <w:r>
        <w:rPr>
          <w:rFonts w:hint="eastAsia"/>
          <w:sz w:val="28"/>
          <w:szCs w:val="28"/>
          <w:lang w:val="en-US" w:eastAsia="zh-CN"/>
        </w:rPr>
        <w:t>图2 图书馆文献借阅情况月度统计表</w:t>
      </w:r>
    </w:p>
    <w:p w14:paraId="23FAE265">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drawing>
          <wp:anchor distT="0" distB="0" distL="114300" distR="114300" simplePos="0" relativeHeight="251659264" behindDoc="0" locked="0" layoutInCell="1" allowOverlap="1">
            <wp:simplePos x="0" y="0"/>
            <wp:positionH relativeFrom="column">
              <wp:posOffset>157480</wp:posOffset>
            </wp:positionH>
            <wp:positionV relativeFrom="paragraph">
              <wp:posOffset>74295</wp:posOffset>
            </wp:positionV>
            <wp:extent cx="5270500" cy="2725420"/>
            <wp:effectExtent l="0" t="0" r="6350" b="17780"/>
            <wp:wrapTopAndBottom/>
            <wp:docPr id="7" name="图片 7" descr="全馆文献借阅情况月度统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全馆文献借阅情况月度统计表"/>
                    <pic:cNvPicPr>
                      <a:picLocks noChangeAspect="1"/>
                    </pic:cNvPicPr>
                  </pic:nvPicPr>
                  <pic:blipFill>
                    <a:blip r:embed="rId7"/>
                    <a:stretch>
                      <a:fillRect/>
                    </a:stretch>
                  </pic:blipFill>
                  <pic:spPr>
                    <a:xfrm>
                      <a:off x="0" y="0"/>
                      <a:ext cx="5270500" cy="2725420"/>
                    </a:xfrm>
                    <a:prstGeom prst="rect">
                      <a:avLst/>
                    </a:prstGeom>
                  </pic:spPr>
                </pic:pic>
              </a:graphicData>
            </a:graphic>
          </wp:anchor>
        </w:drawing>
      </w:r>
      <w:r>
        <w:rPr>
          <w:rFonts w:hint="eastAsia" w:ascii="方正仿宋_GB2312" w:hAnsi="方正仿宋_GB2312" w:eastAsia="方正仿宋_GB2312" w:cs="方正仿宋_GB2312"/>
          <w:kern w:val="2"/>
          <w:sz w:val="32"/>
          <w:szCs w:val="32"/>
          <w:lang w:val="en-US" w:eastAsia="zh-CN" w:bidi="ar-SA"/>
        </w:rPr>
        <w:t>从</w:t>
      </w:r>
      <w:r>
        <w:rPr>
          <w:rFonts w:hint="eastAsia" w:cs="方正仿宋_GB2312"/>
          <w:kern w:val="2"/>
          <w:sz w:val="32"/>
          <w:szCs w:val="32"/>
          <w:lang w:val="en-US" w:eastAsia="zh-CN" w:bidi="ar-SA"/>
        </w:rPr>
        <w:t>全馆文献</w:t>
      </w:r>
      <w:r>
        <w:rPr>
          <w:rFonts w:hint="eastAsia" w:ascii="方正仿宋_GB2312" w:hAnsi="方正仿宋_GB2312" w:eastAsia="方正仿宋_GB2312" w:cs="方正仿宋_GB2312"/>
          <w:kern w:val="2"/>
          <w:sz w:val="32"/>
          <w:szCs w:val="32"/>
          <w:lang w:val="en-US" w:eastAsia="zh-CN" w:bidi="ar-SA"/>
        </w:rPr>
        <w:t>月度借阅趋势</w:t>
      </w:r>
      <w:r>
        <w:rPr>
          <w:rFonts w:hint="eastAsia" w:cs="方正仿宋_GB2312"/>
          <w:kern w:val="2"/>
          <w:sz w:val="32"/>
          <w:szCs w:val="32"/>
          <w:lang w:val="en-US" w:eastAsia="zh-CN" w:bidi="ar-SA"/>
        </w:rPr>
        <w:t>（图2）</w:t>
      </w:r>
      <w:r>
        <w:rPr>
          <w:rFonts w:hint="eastAsia" w:ascii="方正仿宋_GB2312" w:hAnsi="方正仿宋_GB2312" w:eastAsia="方正仿宋_GB2312" w:cs="方正仿宋_GB2312"/>
          <w:kern w:val="2"/>
          <w:sz w:val="32"/>
          <w:szCs w:val="32"/>
          <w:lang w:val="en-US" w:eastAsia="zh-CN" w:bidi="ar-SA"/>
        </w:rPr>
        <w:t>来看，总体流通量与公共文化服务规律及学校教学周期呈现双重耦合的特征：</w:t>
      </w:r>
    </w:p>
    <w:p w14:paraId="4AB5D819">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阅读高峰期的社会与校园共振</w:t>
      </w:r>
      <w:r>
        <w:rPr>
          <w:rFonts w:hint="eastAsia" w:cs="方正仿宋_GB2312"/>
          <w:kern w:val="2"/>
          <w:sz w:val="32"/>
          <w:szCs w:val="32"/>
          <w:lang w:val="en-US" w:eastAsia="zh-CN" w:bidi="ar-SA"/>
        </w:rPr>
        <w:t>。</w:t>
      </w:r>
      <w:r>
        <w:rPr>
          <w:rFonts w:hint="eastAsia" w:ascii="方正仿宋_GB2312" w:hAnsi="方正仿宋_GB2312" w:eastAsia="方正仿宋_GB2312" w:cs="方正仿宋_GB2312"/>
          <w:kern w:val="2"/>
          <w:sz w:val="32"/>
          <w:szCs w:val="32"/>
          <w:lang w:val="en-US" w:eastAsia="zh-CN" w:bidi="ar-SA"/>
        </w:rPr>
        <w:t>全年借阅高峰出现在3月、11月及12月，其中11月借阅册次达21,172册，为全年峰值。这些高峰的形成，一方面与社会读者在春秋宜人季节及年末的阅读习惯增强有关</w:t>
      </w:r>
      <w:r>
        <w:rPr>
          <w:rFonts w:hint="eastAsia" w:cs="方正仿宋_GB2312"/>
          <w:kern w:val="2"/>
          <w:sz w:val="32"/>
          <w:szCs w:val="32"/>
          <w:lang w:val="en-US" w:eastAsia="zh-CN" w:bidi="ar-SA"/>
        </w:rPr>
        <w:t>，</w:t>
      </w:r>
      <w:r>
        <w:rPr>
          <w:rFonts w:hint="eastAsia" w:ascii="方正仿宋_GB2312" w:hAnsi="方正仿宋_GB2312" w:eastAsia="方正仿宋_GB2312" w:cs="方正仿宋_GB2312"/>
          <w:kern w:val="2"/>
          <w:sz w:val="32"/>
          <w:szCs w:val="32"/>
          <w:lang w:val="en-US" w:eastAsia="zh-CN" w:bidi="ar-SA"/>
        </w:rPr>
        <w:t>另一方面，也与学校开学、期中教学深化及期末备考等关键教学节点高度重合。这体现了社会公众的阅读节奏与校园师生的学习周期在图书馆这一开放空间内产生了积极的同步效应。</w:t>
      </w:r>
    </w:p>
    <w:p w14:paraId="120608A6">
      <w:pPr>
        <w:keepNext w:val="0"/>
        <w:keepLines w:val="0"/>
        <w:pageBreakBefore w:val="0"/>
        <w:widowControl w:val="0"/>
        <w:kinsoku/>
        <w:wordWrap/>
        <w:overflowPunct/>
        <w:topLinePunct w:val="0"/>
        <w:autoSpaceDE/>
        <w:autoSpaceDN/>
        <w:bidi w:val="0"/>
        <w:adjustRightInd/>
        <w:snapToGrid/>
        <w:spacing w:line="240" w:lineRule="atLeast"/>
        <w:ind w:firstLine="640" w:firstLineChars="200"/>
        <w:jc w:val="left"/>
        <w:textAlignment w:val="auto"/>
        <w:rPr>
          <w:rFonts w:hint="eastAsia"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假期低谷期的服务持续性</w:t>
      </w:r>
      <w:r>
        <w:rPr>
          <w:rFonts w:hint="eastAsia" w:cs="方正仿宋_GB2312"/>
          <w:kern w:val="2"/>
          <w:sz w:val="32"/>
          <w:szCs w:val="32"/>
          <w:lang w:val="en-US" w:eastAsia="zh-CN" w:bidi="ar-SA"/>
        </w:rPr>
        <w:t>。</w:t>
      </w:r>
      <w:r>
        <w:rPr>
          <w:rFonts w:hint="eastAsia" w:ascii="方正仿宋_GB2312" w:hAnsi="方正仿宋_GB2312" w:eastAsia="方正仿宋_GB2312" w:cs="方正仿宋_GB2312"/>
          <w:kern w:val="2"/>
          <w:sz w:val="32"/>
          <w:szCs w:val="32"/>
          <w:lang w:val="en-US" w:eastAsia="zh-CN" w:bidi="ar-SA"/>
        </w:rPr>
        <w:t>8月借阅量降至年度最低点，这与师生离校休假的社会规律相符。</w:t>
      </w:r>
      <w:r>
        <w:rPr>
          <w:rFonts w:hint="eastAsia" w:cs="方正仿宋_GB2312"/>
          <w:kern w:val="2"/>
          <w:sz w:val="32"/>
          <w:szCs w:val="32"/>
          <w:lang w:val="en-US" w:eastAsia="zh-CN" w:bidi="ar-SA"/>
        </w:rPr>
        <w:t>同时，沁园校区图书馆在8月对馆内的空调系统进行了维修，近一个月的闭馆是该月借阅低谷的另一主要影响因素。</w:t>
      </w:r>
      <w:r>
        <w:rPr>
          <w:rFonts w:hint="eastAsia" w:ascii="方正仿宋_GB2312" w:hAnsi="方正仿宋_GB2312" w:eastAsia="方正仿宋_GB2312" w:cs="方正仿宋_GB2312"/>
          <w:kern w:val="2"/>
          <w:sz w:val="32"/>
          <w:szCs w:val="32"/>
          <w:lang w:val="en-US" w:eastAsia="zh-CN" w:bidi="ar-SA"/>
        </w:rPr>
        <w:t>值得注意的是，1月、2月（寒假期间）流通量仍保持了每月超万册的规模，这充分得益于图书馆在假期面向社会读者的持续开放，展现了公共文化服务的韧性</w:t>
      </w:r>
      <w:r>
        <w:rPr>
          <w:rFonts w:hint="eastAsia" w:cs="方正仿宋_GB2312"/>
          <w:kern w:val="2"/>
          <w:sz w:val="32"/>
          <w:szCs w:val="32"/>
          <w:lang w:val="en-US" w:eastAsia="zh-CN" w:bidi="ar-SA"/>
        </w:rPr>
        <w:t>。</w:t>
      </w:r>
    </w:p>
    <w:p w14:paraId="43B236B0">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rPr>
          <w:rFonts w:hint="eastAsia" w:cs="方正仿宋_GB2312"/>
          <w:kern w:val="2"/>
          <w:sz w:val="32"/>
          <w:szCs w:val="32"/>
          <w:lang w:val="en-US" w:eastAsia="zh-CN" w:bidi="ar-SA"/>
        </w:rPr>
      </w:pPr>
      <w:r>
        <w:rPr>
          <w:rFonts w:hint="eastAsia"/>
          <w:sz w:val="28"/>
          <w:szCs w:val="28"/>
          <w:lang w:val="en-US" w:eastAsia="zh-CN"/>
        </w:rPr>
        <w:t>图3 师生文献借阅情况月度统计表</w:t>
      </w:r>
    </w:p>
    <w:p w14:paraId="692F385C">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drawing>
          <wp:anchor distT="0" distB="0" distL="114300" distR="114300" simplePos="0" relativeHeight="251666432" behindDoc="0" locked="0" layoutInCell="1" allowOverlap="1">
            <wp:simplePos x="0" y="0"/>
            <wp:positionH relativeFrom="column">
              <wp:posOffset>204470</wp:posOffset>
            </wp:positionH>
            <wp:positionV relativeFrom="paragraph">
              <wp:posOffset>13335</wp:posOffset>
            </wp:positionV>
            <wp:extent cx="5118100" cy="2878455"/>
            <wp:effectExtent l="0" t="0" r="6350" b="17145"/>
            <wp:wrapTopAndBottom/>
            <wp:docPr id="8" name="图片 8" descr="师生文献借阅情况阅读统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师生文献借阅情况阅读统计表"/>
                    <pic:cNvPicPr>
                      <a:picLocks noChangeAspect="1"/>
                    </pic:cNvPicPr>
                  </pic:nvPicPr>
                  <pic:blipFill>
                    <a:blip r:embed="rId8"/>
                    <a:stretch>
                      <a:fillRect/>
                    </a:stretch>
                  </pic:blipFill>
                  <pic:spPr>
                    <a:xfrm>
                      <a:off x="0" y="0"/>
                      <a:ext cx="5118100" cy="2878455"/>
                    </a:xfrm>
                    <a:prstGeom prst="rect">
                      <a:avLst/>
                    </a:prstGeom>
                  </pic:spPr>
                </pic:pic>
              </a:graphicData>
            </a:graphic>
          </wp:anchor>
        </w:drawing>
      </w:r>
      <w:r>
        <w:rPr>
          <w:rFonts w:hint="eastAsia" w:cs="方正仿宋_GB2312"/>
          <w:kern w:val="2"/>
          <w:sz w:val="32"/>
          <w:szCs w:val="32"/>
          <w:lang w:val="en-US" w:eastAsia="zh-CN" w:bidi="ar-SA"/>
        </w:rPr>
        <w:t xml:space="preserve">    </w:t>
      </w:r>
      <w:r>
        <w:rPr>
          <w:rFonts w:hint="eastAsia" w:ascii="方正仿宋_GB2312" w:hAnsi="方正仿宋_GB2312" w:eastAsia="方正仿宋_GB2312" w:cs="方正仿宋_GB2312"/>
          <w:kern w:val="2"/>
          <w:sz w:val="32"/>
          <w:szCs w:val="32"/>
          <w:lang w:val="en-US" w:eastAsia="zh-CN" w:bidi="ar-SA"/>
        </w:rPr>
        <w:t>聚焦高新校区（东区与西区）师生群体的借阅数据</w:t>
      </w:r>
      <w:r>
        <w:rPr>
          <w:rFonts w:hint="eastAsia" w:cs="方正仿宋_GB2312"/>
          <w:kern w:val="2"/>
          <w:sz w:val="32"/>
          <w:szCs w:val="32"/>
          <w:lang w:val="en-US" w:eastAsia="zh-CN" w:bidi="ar-SA"/>
        </w:rPr>
        <w:t>（图3）</w:t>
      </w:r>
      <w:r>
        <w:rPr>
          <w:rFonts w:hint="eastAsia" w:ascii="方正仿宋_GB2312" w:hAnsi="方正仿宋_GB2312" w:eastAsia="方正仿宋_GB2312" w:cs="方正仿宋_GB2312"/>
          <w:kern w:val="2"/>
          <w:sz w:val="32"/>
          <w:szCs w:val="32"/>
          <w:lang w:val="en-US" w:eastAsia="zh-CN" w:bidi="ar-SA"/>
        </w:rPr>
        <w:t>，可以观察到以下特点：全年借阅 23,904人次，流通 36335册次，人均借阅约1.52册。其月度借阅趋势与总体趋势形态基本一致，尤其在3月（开学）、10-12月（学习深化与备考期） 响应尤为明显，显示了校园核心用户对教学节奏</w:t>
      </w:r>
      <w:r>
        <w:rPr>
          <w:rFonts w:hint="eastAsia" w:cs="方正仿宋_GB2312"/>
          <w:kern w:val="2"/>
          <w:sz w:val="32"/>
          <w:szCs w:val="32"/>
          <w:lang w:val="en-US" w:eastAsia="zh-CN" w:bidi="ar-SA"/>
        </w:rPr>
        <w:t>的</w:t>
      </w:r>
      <w:r>
        <w:rPr>
          <w:rFonts w:hint="eastAsia" w:ascii="方正仿宋_GB2312" w:hAnsi="方正仿宋_GB2312" w:eastAsia="方正仿宋_GB2312" w:cs="方正仿宋_GB2312"/>
          <w:kern w:val="2"/>
          <w:sz w:val="32"/>
          <w:szCs w:val="32"/>
          <w:lang w:val="en-US" w:eastAsia="zh-CN" w:bidi="ar-SA"/>
        </w:rPr>
        <w:t>紧密跟随。高新校区师生的借阅量约占全校总流通量的20.7%，这一占比与</w:t>
      </w:r>
      <w:r>
        <w:rPr>
          <w:rFonts w:hint="eastAsia" w:cs="方正仿宋_GB2312"/>
          <w:kern w:val="2"/>
          <w:sz w:val="32"/>
          <w:szCs w:val="32"/>
          <w:lang w:val="en-US" w:eastAsia="zh-CN" w:bidi="ar-SA"/>
        </w:rPr>
        <w:t>师生</w:t>
      </w:r>
      <w:r>
        <w:rPr>
          <w:rFonts w:hint="eastAsia" w:ascii="方正仿宋_GB2312" w:hAnsi="方正仿宋_GB2312" w:eastAsia="方正仿宋_GB2312" w:cs="方正仿宋_GB2312"/>
          <w:kern w:val="2"/>
          <w:sz w:val="32"/>
          <w:szCs w:val="32"/>
          <w:lang w:val="en-US" w:eastAsia="zh-CN" w:bidi="ar-SA"/>
        </w:rPr>
        <w:t>读者基数</w:t>
      </w:r>
      <w:r>
        <w:rPr>
          <w:rFonts w:hint="eastAsia" w:cs="方正仿宋_GB2312"/>
          <w:kern w:val="2"/>
          <w:sz w:val="32"/>
          <w:szCs w:val="32"/>
          <w:lang w:val="en-US" w:eastAsia="zh-CN" w:bidi="ar-SA"/>
        </w:rPr>
        <w:t>与市民读者基数相差较远有关</w:t>
      </w:r>
      <w:r>
        <w:rPr>
          <w:rFonts w:hint="eastAsia" w:ascii="方正仿宋_GB2312" w:hAnsi="方正仿宋_GB2312" w:eastAsia="方正仿宋_GB2312" w:cs="方正仿宋_GB2312"/>
          <w:kern w:val="2"/>
          <w:sz w:val="32"/>
          <w:szCs w:val="32"/>
          <w:lang w:val="en-US" w:eastAsia="zh-CN" w:bidi="ar-SA"/>
        </w:rPr>
        <w:t>，</w:t>
      </w:r>
      <w:r>
        <w:rPr>
          <w:rFonts w:hint="eastAsia" w:cs="方正仿宋_GB2312"/>
          <w:kern w:val="2"/>
          <w:sz w:val="32"/>
          <w:szCs w:val="32"/>
          <w:lang w:val="en-US" w:eastAsia="zh-CN" w:bidi="ar-SA"/>
        </w:rPr>
        <w:t>但</w:t>
      </w:r>
      <w:r>
        <w:rPr>
          <w:rFonts w:hint="eastAsia" w:ascii="方正仿宋_GB2312" w:hAnsi="方正仿宋_GB2312" w:eastAsia="方正仿宋_GB2312" w:cs="方正仿宋_GB2312"/>
          <w:kern w:val="2"/>
          <w:sz w:val="32"/>
          <w:szCs w:val="32"/>
          <w:lang w:val="en-US" w:eastAsia="zh-CN" w:bidi="ar-SA"/>
        </w:rPr>
        <w:t>也提示我们在持续激发师生纸本阅读兴趣、提升专业文献精准供给方面，仍有深化服务的空间。</w:t>
      </w:r>
    </w:p>
    <w:p w14:paraId="7D030352">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ind w:right="0" w:rightChars="0" w:firstLine="643" w:firstLineChars="200"/>
        <w:textAlignment w:val="auto"/>
        <w:rPr>
          <w:rFonts w:hint="default" w:ascii="方正仿宋_GB2312" w:hAnsi="方正仿宋_GB2312" w:eastAsia="方正仿宋_GB2312" w:cs="方正仿宋_GB2312"/>
          <w:b/>
          <w:bCs/>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读者与文献“双榜”解读</w:t>
      </w:r>
    </w:p>
    <w:p w14:paraId="0A1E00EE">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年度“双榜”</w:t>
      </w:r>
      <w:r>
        <w:rPr>
          <w:rFonts w:hint="eastAsia" w:cs="方正仿宋_GB2312"/>
          <w:kern w:val="2"/>
          <w:sz w:val="32"/>
          <w:szCs w:val="32"/>
          <w:lang w:val="en-US" w:eastAsia="zh-CN" w:bidi="ar-SA"/>
        </w:rPr>
        <w:t>（读者借阅榜与图书借阅榜）</w:t>
      </w:r>
      <w:r>
        <w:rPr>
          <w:rFonts w:hint="default" w:ascii="方正仿宋_GB2312" w:hAnsi="方正仿宋_GB2312" w:eastAsia="方正仿宋_GB2312" w:cs="方正仿宋_GB2312"/>
          <w:kern w:val="2"/>
          <w:sz w:val="32"/>
          <w:szCs w:val="32"/>
          <w:lang w:val="en-US" w:eastAsia="zh-CN" w:bidi="ar-SA"/>
        </w:rPr>
        <w:t>数据不仅展示了活跃读者的分布，更深刻揭示了文献资源利用的热点与成效，与年度资源建设工作形成了有力呼应。</w:t>
      </w:r>
    </w:p>
    <w:p w14:paraId="30EE2A8D">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rPr>
          <w:rFonts w:hint="default"/>
          <w:sz w:val="28"/>
          <w:szCs w:val="28"/>
          <w:lang w:val="en-US" w:eastAsia="zh-CN"/>
        </w:rPr>
      </w:pPr>
      <w:r>
        <w:rPr>
          <w:rFonts w:hint="eastAsia"/>
          <w:sz w:val="28"/>
          <w:szCs w:val="28"/>
          <w:lang w:val="en-US" w:eastAsia="zh-CN"/>
        </w:rPr>
        <w:t>表3  2025年学生读者借阅排行榜</w:t>
      </w:r>
    </w:p>
    <w:tbl>
      <w:tblPr>
        <w:tblStyle w:val="10"/>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130"/>
        <w:gridCol w:w="2130"/>
        <w:gridCol w:w="2130"/>
        <w:gridCol w:w="2131"/>
      </w:tblGrid>
      <w:tr w14:paraId="525A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0" w:type="dxa"/>
            <w:tcBorders>
              <w:top w:val="single" w:color="4874CB" w:sz="12" w:space="0"/>
              <w:left w:val="nil"/>
              <w:bottom w:val="single" w:color="4874CB" w:sz="4" w:space="0"/>
              <w:right w:val="nil"/>
              <w:tl2br w:val="nil"/>
            </w:tcBorders>
            <w:shd w:val="clear" w:color="auto" w:fill="91ACE0"/>
            <w:noWrap w:val="0"/>
            <w:vAlign w:val="top"/>
          </w:tcPr>
          <w:p w14:paraId="74BF730E">
            <w:pPr>
              <w:rPr>
                <w:rFonts w:hint="default"/>
                <w:b/>
                <w:color w:val="000000"/>
                <w:vertAlign w:val="baseline"/>
                <w:lang w:val="en-US" w:eastAsia="zh-CN"/>
              </w:rPr>
            </w:pPr>
            <w:r>
              <w:rPr>
                <w:rFonts w:hint="eastAsia"/>
                <w:b/>
                <w:color w:val="000000"/>
                <w:vertAlign w:val="baseline"/>
                <w:lang w:val="en-US" w:eastAsia="zh-CN"/>
              </w:rPr>
              <w:t>序号</w:t>
            </w:r>
          </w:p>
        </w:tc>
        <w:tc>
          <w:tcPr>
            <w:tcW w:w="2130" w:type="dxa"/>
            <w:tcBorders>
              <w:top w:val="single" w:color="4874CB" w:sz="12" w:space="0"/>
              <w:left w:val="nil"/>
              <w:bottom w:val="single" w:color="4874CB" w:sz="4" w:space="0"/>
              <w:right w:val="nil"/>
            </w:tcBorders>
            <w:shd w:val="clear" w:color="auto" w:fill="91ACE0"/>
            <w:noWrap w:val="0"/>
            <w:vAlign w:val="top"/>
          </w:tcPr>
          <w:p w14:paraId="250B7788">
            <w:pPr>
              <w:rPr>
                <w:rFonts w:hint="default"/>
                <w:b/>
                <w:color w:val="000000"/>
                <w:vertAlign w:val="baseline"/>
                <w:lang w:val="en-US" w:eastAsia="zh-CN"/>
              </w:rPr>
            </w:pPr>
            <w:r>
              <w:rPr>
                <w:rFonts w:hint="eastAsia"/>
                <w:b/>
                <w:color w:val="000000"/>
                <w:vertAlign w:val="baseline"/>
                <w:lang w:val="en-US" w:eastAsia="zh-CN"/>
              </w:rPr>
              <w:t>读者姓名</w:t>
            </w:r>
          </w:p>
        </w:tc>
        <w:tc>
          <w:tcPr>
            <w:tcW w:w="2130" w:type="dxa"/>
            <w:tcBorders>
              <w:top w:val="single" w:color="4874CB" w:sz="12" w:space="0"/>
              <w:left w:val="nil"/>
              <w:bottom w:val="single" w:color="4874CB" w:sz="4" w:space="0"/>
              <w:right w:val="nil"/>
            </w:tcBorders>
            <w:shd w:val="clear" w:color="auto" w:fill="91ACE0"/>
            <w:noWrap w:val="0"/>
            <w:vAlign w:val="top"/>
          </w:tcPr>
          <w:p w14:paraId="2FFC8FA6">
            <w:pPr>
              <w:rPr>
                <w:rFonts w:hint="default"/>
                <w:b/>
                <w:color w:val="000000"/>
                <w:vertAlign w:val="baseline"/>
                <w:lang w:val="en-US" w:eastAsia="zh-CN"/>
              </w:rPr>
            </w:pPr>
            <w:r>
              <w:rPr>
                <w:rFonts w:hint="eastAsia"/>
                <w:b/>
                <w:color w:val="000000"/>
                <w:vertAlign w:val="baseline"/>
                <w:lang w:val="en-US" w:eastAsia="zh-CN"/>
              </w:rPr>
              <w:t>借阅册次</w:t>
            </w:r>
          </w:p>
        </w:tc>
        <w:tc>
          <w:tcPr>
            <w:tcW w:w="2131" w:type="dxa"/>
            <w:tcBorders>
              <w:top w:val="single" w:color="4874CB" w:sz="12" w:space="0"/>
              <w:left w:val="nil"/>
              <w:bottom w:val="single" w:color="4874CB" w:sz="4" w:space="0"/>
              <w:right w:val="nil"/>
            </w:tcBorders>
            <w:shd w:val="clear" w:color="auto" w:fill="91ACE0"/>
            <w:noWrap w:val="0"/>
            <w:vAlign w:val="top"/>
          </w:tcPr>
          <w:p w14:paraId="22570053">
            <w:pPr>
              <w:rPr>
                <w:rFonts w:hint="default"/>
                <w:b/>
                <w:color w:val="000000"/>
                <w:vertAlign w:val="baseline"/>
                <w:lang w:val="en-US" w:eastAsia="zh-CN"/>
              </w:rPr>
            </w:pPr>
            <w:r>
              <w:rPr>
                <w:rFonts w:hint="eastAsia"/>
                <w:b/>
                <w:color w:val="000000"/>
                <w:vertAlign w:val="baseline"/>
                <w:lang w:val="en-US" w:eastAsia="zh-CN"/>
              </w:rPr>
              <w:t>院系</w:t>
            </w:r>
          </w:p>
        </w:tc>
      </w:tr>
      <w:tr w14:paraId="70D5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30" w:type="dxa"/>
            <w:tcBorders>
              <w:top w:val="single" w:color="4874CB" w:sz="4" w:space="0"/>
              <w:left w:val="nil"/>
              <w:bottom w:val="nil"/>
              <w:right w:val="nil"/>
            </w:tcBorders>
            <w:shd w:val="clear" w:color="auto" w:fill="FFFFFF"/>
            <w:noWrap w:val="0"/>
            <w:vAlign w:val="top"/>
          </w:tcPr>
          <w:p w14:paraId="6DB7193A">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1</w:t>
            </w:r>
          </w:p>
        </w:tc>
        <w:tc>
          <w:tcPr>
            <w:tcW w:w="2130" w:type="dxa"/>
            <w:tcBorders>
              <w:top w:val="single" w:color="4874CB" w:sz="4" w:space="0"/>
              <w:left w:val="nil"/>
              <w:bottom w:val="nil"/>
              <w:right w:val="nil"/>
            </w:tcBorders>
            <w:shd w:val="clear" w:color="auto" w:fill="FFFFFF"/>
            <w:noWrap w:val="0"/>
            <w:vAlign w:val="top"/>
          </w:tcPr>
          <w:p w14:paraId="721A139A">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田书涵</w:t>
            </w:r>
          </w:p>
        </w:tc>
        <w:tc>
          <w:tcPr>
            <w:tcW w:w="2130" w:type="dxa"/>
            <w:tcBorders>
              <w:top w:val="single" w:color="4874CB" w:sz="4" w:space="0"/>
              <w:left w:val="nil"/>
              <w:bottom w:val="nil"/>
              <w:right w:val="nil"/>
            </w:tcBorders>
            <w:shd w:val="clear" w:color="auto" w:fill="FFFFFF"/>
            <w:noWrap w:val="0"/>
            <w:vAlign w:val="top"/>
          </w:tcPr>
          <w:p w14:paraId="5A795031">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142</w:t>
            </w:r>
          </w:p>
        </w:tc>
        <w:tc>
          <w:tcPr>
            <w:tcW w:w="2131" w:type="dxa"/>
            <w:tcBorders>
              <w:top w:val="single" w:color="4874CB" w:sz="4" w:space="0"/>
              <w:left w:val="nil"/>
              <w:bottom w:val="nil"/>
              <w:right w:val="nil"/>
            </w:tcBorders>
            <w:shd w:val="clear" w:color="auto" w:fill="FFFFFF"/>
            <w:noWrap w:val="0"/>
            <w:vAlign w:val="top"/>
          </w:tcPr>
          <w:p w14:paraId="184D169C">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医学护理学院</w:t>
            </w:r>
          </w:p>
        </w:tc>
      </w:tr>
      <w:tr w14:paraId="5221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76C5175C">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2</w:t>
            </w:r>
          </w:p>
        </w:tc>
        <w:tc>
          <w:tcPr>
            <w:tcW w:w="2130" w:type="dxa"/>
            <w:tcBorders>
              <w:top w:val="nil"/>
              <w:left w:val="nil"/>
              <w:bottom w:val="nil"/>
              <w:right w:val="nil"/>
            </w:tcBorders>
            <w:shd w:val="clear" w:color="auto" w:fill="FFFFFF"/>
            <w:noWrap w:val="0"/>
            <w:vAlign w:val="top"/>
          </w:tcPr>
          <w:p w14:paraId="602E74CA">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袁志伟</w:t>
            </w:r>
          </w:p>
        </w:tc>
        <w:tc>
          <w:tcPr>
            <w:tcW w:w="2130" w:type="dxa"/>
            <w:tcBorders>
              <w:top w:val="nil"/>
              <w:left w:val="nil"/>
              <w:bottom w:val="nil"/>
              <w:right w:val="nil"/>
            </w:tcBorders>
            <w:shd w:val="clear" w:color="auto" w:fill="FFFFFF"/>
            <w:noWrap w:val="0"/>
            <w:vAlign w:val="top"/>
          </w:tcPr>
          <w:p w14:paraId="6E3F40B4">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117</w:t>
            </w:r>
          </w:p>
        </w:tc>
        <w:tc>
          <w:tcPr>
            <w:tcW w:w="2131" w:type="dxa"/>
            <w:tcBorders>
              <w:top w:val="nil"/>
              <w:left w:val="nil"/>
              <w:bottom w:val="nil"/>
              <w:right w:val="nil"/>
            </w:tcBorders>
            <w:shd w:val="clear" w:color="auto" w:fill="FFFFFF"/>
            <w:noWrap w:val="0"/>
            <w:vAlign w:val="top"/>
          </w:tcPr>
          <w:p w14:paraId="3279A322">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机电工程学院</w:t>
            </w:r>
          </w:p>
        </w:tc>
      </w:tr>
      <w:tr w14:paraId="7359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6F1E2B61">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3</w:t>
            </w:r>
          </w:p>
        </w:tc>
        <w:tc>
          <w:tcPr>
            <w:tcW w:w="2130" w:type="dxa"/>
            <w:tcBorders>
              <w:top w:val="nil"/>
              <w:left w:val="nil"/>
              <w:bottom w:val="nil"/>
              <w:right w:val="nil"/>
            </w:tcBorders>
            <w:shd w:val="clear" w:color="auto" w:fill="FFFFFF"/>
            <w:noWrap w:val="0"/>
            <w:vAlign w:val="top"/>
          </w:tcPr>
          <w:p w14:paraId="54A75F2F">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王俊博</w:t>
            </w:r>
          </w:p>
        </w:tc>
        <w:tc>
          <w:tcPr>
            <w:tcW w:w="2130" w:type="dxa"/>
            <w:tcBorders>
              <w:top w:val="nil"/>
              <w:left w:val="nil"/>
              <w:bottom w:val="nil"/>
              <w:right w:val="nil"/>
            </w:tcBorders>
            <w:shd w:val="clear" w:color="auto" w:fill="FFFFFF"/>
            <w:noWrap w:val="0"/>
            <w:vAlign w:val="top"/>
          </w:tcPr>
          <w:p w14:paraId="11069F5A">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87</w:t>
            </w:r>
          </w:p>
        </w:tc>
        <w:tc>
          <w:tcPr>
            <w:tcW w:w="2131" w:type="dxa"/>
            <w:tcBorders>
              <w:top w:val="nil"/>
              <w:left w:val="nil"/>
              <w:bottom w:val="nil"/>
              <w:right w:val="nil"/>
            </w:tcBorders>
            <w:shd w:val="clear" w:color="auto" w:fill="FFFFFF"/>
            <w:noWrap w:val="0"/>
            <w:vAlign w:val="top"/>
          </w:tcPr>
          <w:p w14:paraId="1961DC3B">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文化与旅游学院</w:t>
            </w:r>
          </w:p>
        </w:tc>
      </w:tr>
      <w:tr w14:paraId="57AA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20939B22">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4</w:t>
            </w:r>
          </w:p>
        </w:tc>
        <w:tc>
          <w:tcPr>
            <w:tcW w:w="2130" w:type="dxa"/>
            <w:tcBorders>
              <w:top w:val="nil"/>
              <w:left w:val="nil"/>
              <w:bottom w:val="nil"/>
              <w:right w:val="nil"/>
            </w:tcBorders>
            <w:shd w:val="clear" w:color="auto" w:fill="FFFFFF"/>
            <w:noWrap w:val="0"/>
            <w:vAlign w:val="top"/>
          </w:tcPr>
          <w:p w14:paraId="3DC81A28">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燕家辉</w:t>
            </w:r>
          </w:p>
        </w:tc>
        <w:tc>
          <w:tcPr>
            <w:tcW w:w="2130" w:type="dxa"/>
            <w:tcBorders>
              <w:top w:val="nil"/>
              <w:left w:val="nil"/>
              <w:bottom w:val="nil"/>
              <w:right w:val="nil"/>
            </w:tcBorders>
            <w:shd w:val="clear" w:color="auto" w:fill="FFFFFF"/>
            <w:noWrap w:val="0"/>
            <w:vAlign w:val="top"/>
          </w:tcPr>
          <w:p w14:paraId="6E25AEBF">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75</w:t>
            </w:r>
          </w:p>
        </w:tc>
        <w:tc>
          <w:tcPr>
            <w:tcW w:w="2131" w:type="dxa"/>
            <w:tcBorders>
              <w:top w:val="nil"/>
              <w:left w:val="nil"/>
              <w:bottom w:val="nil"/>
              <w:right w:val="nil"/>
            </w:tcBorders>
            <w:shd w:val="clear" w:color="auto" w:fill="FFFFFF"/>
            <w:noWrap w:val="0"/>
            <w:vAlign w:val="top"/>
          </w:tcPr>
          <w:p w14:paraId="06E8651A">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文化与旅游学院</w:t>
            </w:r>
          </w:p>
        </w:tc>
      </w:tr>
      <w:tr w14:paraId="5EA4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10C8FFA6">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5</w:t>
            </w:r>
          </w:p>
        </w:tc>
        <w:tc>
          <w:tcPr>
            <w:tcW w:w="2130" w:type="dxa"/>
            <w:tcBorders>
              <w:top w:val="nil"/>
              <w:left w:val="nil"/>
              <w:bottom w:val="nil"/>
              <w:right w:val="nil"/>
            </w:tcBorders>
            <w:shd w:val="clear" w:color="auto" w:fill="FFFFFF"/>
            <w:noWrap w:val="0"/>
            <w:vAlign w:val="top"/>
          </w:tcPr>
          <w:p w14:paraId="308ECE30">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王盈妹</w:t>
            </w:r>
          </w:p>
        </w:tc>
        <w:tc>
          <w:tcPr>
            <w:tcW w:w="2130" w:type="dxa"/>
            <w:tcBorders>
              <w:top w:val="nil"/>
              <w:left w:val="nil"/>
              <w:bottom w:val="nil"/>
              <w:right w:val="nil"/>
            </w:tcBorders>
            <w:shd w:val="clear" w:color="auto" w:fill="FFFFFF"/>
            <w:noWrap w:val="0"/>
            <w:vAlign w:val="top"/>
          </w:tcPr>
          <w:p w14:paraId="35DFC876">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72</w:t>
            </w:r>
          </w:p>
        </w:tc>
        <w:tc>
          <w:tcPr>
            <w:tcW w:w="2131" w:type="dxa"/>
            <w:tcBorders>
              <w:top w:val="nil"/>
              <w:left w:val="nil"/>
              <w:bottom w:val="nil"/>
              <w:right w:val="nil"/>
            </w:tcBorders>
            <w:shd w:val="clear" w:color="auto" w:fill="FFFFFF"/>
            <w:noWrap w:val="0"/>
            <w:vAlign w:val="top"/>
          </w:tcPr>
          <w:p w14:paraId="2E63C600">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医学护理学院</w:t>
            </w:r>
          </w:p>
        </w:tc>
      </w:tr>
      <w:tr w14:paraId="5E6B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71A208CC">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6</w:t>
            </w:r>
          </w:p>
        </w:tc>
        <w:tc>
          <w:tcPr>
            <w:tcW w:w="2130" w:type="dxa"/>
            <w:tcBorders>
              <w:top w:val="nil"/>
              <w:left w:val="nil"/>
              <w:bottom w:val="nil"/>
              <w:right w:val="nil"/>
            </w:tcBorders>
            <w:shd w:val="clear" w:color="auto" w:fill="FFFFFF"/>
            <w:noWrap w:val="0"/>
            <w:vAlign w:val="top"/>
          </w:tcPr>
          <w:p w14:paraId="0BC7344F">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沈昊雨</w:t>
            </w:r>
          </w:p>
        </w:tc>
        <w:tc>
          <w:tcPr>
            <w:tcW w:w="2130" w:type="dxa"/>
            <w:tcBorders>
              <w:top w:val="nil"/>
              <w:left w:val="nil"/>
              <w:bottom w:val="nil"/>
              <w:right w:val="nil"/>
            </w:tcBorders>
            <w:shd w:val="clear" w:color="auto" w:fill="FFFFFF"/>
            <w:noWrap w:val="0"/>
            <w:vAlign w:val="top"/>
          </w:tcPr>
          <w:p w14:paraId="4A5A5315">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67</w:t>
            </w:r>
          </w:p>
        </w:tc>
        <w:tc>
          <w:tcPr>
            <w:tcW w:w="2131" w:type="dxa"/>
            <w:tcBorders>
              <w:top w:val="nil"/>
              <w:left w:val="nil"/>
              <w:bottom w:val="nil"/>
              <w:right w:val="nil"/>
            </w:tcBorders>
            <w:shd w:val="clear" w:color="auto" w:fill="FFFFFF"/>
            <w:noWrap w:val="0"/>
            <w:vAlign w:val="top"/>
          </w:tcPr>
          <w:p w14:paraId="73C8319F">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机电工程学院</w:t>
            </w:r>
          </w:p>
        </w:tc>
      </w:tr>
      <w:tr w14:paraId="4245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44641C62">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7</w:t>
            </w:r>
          </w:p>
        </w:tc>
        <w:tc>
          <w:tcPr>
            <w:tcW w:w="2130" w:type="dxa"/>
            <w:tcBorders>
              <w:top w:val="nil"/>
              <w:left w:val="nil"/>
              <w:bottom w:val="nil"/>
              <w:right w:val="nil"/>
            </w:tcBorders>
            <w:shd w:val="clear" w:color="auto" w:fill="FFFFFF"/>
            <w:noWrap w:val="0"/>
            <w:vAlign w:val="top"/>
          </w:tcPr>
          <w:p w14:paraId="2318FEE0">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赵振杰</w:t>
            </w:r>
          </w:p>
        </w:tc>
        <w:tc>
          <w:tcPr>
            <w:tcW w:w="2130" w:type="dxa"/>
            <w:tcBorders>
              <w:top w:val="nil"/>
              <w:left w:val="nil"/>
              <w:bottom w:val="nil"/>
              <w:right w:val="nil"/>
            </w:tcBorders>
            <w:shd w:val="clear" w:color="auto" w:fill="FFFFFF"/>
            <w:noWrap w:val="0"/>
            <w:vAlign w:val="top"/>
          </w:tcPr>
          <w:p w14:paraId="6EEA7316">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66</w:t>
            </w:r>
          </w:p>
        </w:tc>
        <w:tc>
          <w:tcPr>
            <w:tcW w:w="2131" w:type="dxa"/>
            <w:tcBorders>
              <w:top w:val="nil"/>
              <w:left w:val="nil"/>
              <w:bottom w:val="nil"/>
              <w:right w:val="nil"/>
            </w:tcBorders>
            <w:shd w:val="clear" w:color="auto" w:fill="FFFFFF"/>
            <w:noWrap w:val="0"/>
            <w:vAlign w:val="top"/>
          </w:tcPr>
          <w:p w14:paraId="777B38CC">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人工智能学院</w:t>
            </w:r>
          </w:p>
        </w:tc>
      </w:tr>
      <w:tr w14:paraId="683F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3443F933">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8</w:t>
            </w:r>
          </w:p>
        </w:tc>
        <w:tc>
          <w:tcPr>
            <w:tcW w:w="2130" w:type="dxa"/>
            <w:tcBorders>
              <w:top w:val="nil"/>
              <w:left w:val="nil"/>
              <w:bottom w:val="nil"/>
              <w:right w:val="nil"/>
            </w:tcBorders>
            <w:shd w:val="clear" w:color="auto" w:fill="FFFFFF"/>
            <w:noWrap w:val="0"/>
            <w:vAlign w:val="top"/>
          </w:tcPr>
          <w:p w14:paraId="52038D1E">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田雨嘉</w:t>
            </w:r>
          </w:p>
        </w:tc>
        <w:tc>
          <w:tcPr>
            <w:tcW w:w="2130" w:type="dxa"/>
            <w:tcBorders>
              <w:top w:val="nil"/>
              <w:left w:val="nil"/>
              <w:bottom w:val="nil"/>
              <w:right w:val="nil"/>
            </w:tcBorders>
            <w:shd w:val="clear" w:color="auto" w:fill="FFFFFF"/>
            <w:noWrap w:val="0"/>
            <w:vAlign w:val="top"/>
          </w:tcPr>
          <w:p w14:paraId="4254EB93">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66</w:t>
            </w:r>
          </w:p>
        </w:tc>
        <w:tc>
          <w:tcPr>
            <w:tcW w:w="2131" w:type="dxa"/>
            <w:tcBorders>
              <w:top w:val="nil"/>
              <w:left w:val="nil"/>
              <w:bottom w:val="nil"/>
              <w:right w:val="nil"/>
            </w:tcBorders>
            <w:shd w:val="clear" w:color="auto" w:fill="FFFFFF"/>
            <w:noWrap w:val="0"/>
            <w:vAlign w:val="top"/>
          </w:tcPr>
          <w:p w14:paraId="1898BDC7">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材料工程学院</w:t>
            </w:r>
          </w:p>
        </w:tc>
      </w:tr>
      <w:tr w14:paraId="48BB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6C7C0DA0">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9</w:t>
            </w:r>
          </w:p>
        </w:tc>
        <w:tc>
          <w:tcPr>
            <w:tcW w:w="2130" w:type="dxa"/>
            <w:tcBorders>
              <w:top w:val="nil"/>
              <w:left w:val="nil"/>
              <w:bottom w:val="nil"/>
              <w:right w:val="nil"/>
            </w:tcBorders>
            <w:shd w:val="clear" w:color="auto" w:fill="FFFFFF"/>
            <w:noWrap w:val="0"/>
            <w:vAlign w:val="top"/>
          </w:tcPr>
          <w:p w14:paraId="5E6467C3">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姜国涛</w:t>
            </w:r>
          </w:p>
        </w:tc>
        <w:tc>
          <w:tcPr>
            <w:tcW w:w="2130" w:type="dxa"/>
            <w:tcBorders>
              <w:top w:val="nil"/>
              <w:left w:val="nil"/>
              <w:bottom w:val="nil"/>
              <w:right w:val="nil"/>
            </w:tcBorders>
            <w:shd w:val="clear" w:color="auto" w:fill="FFFFFF"/>
            <w:noWrap w:val="0"/>
            <w:vAlign w:val="top"/>
          </w:tcPr>
          <w:p w14:paraId="40E4AD07">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66</w:t>
            </w:r>
          </w:p>
        </w:tc>
        <w:tc>
          <w:tcPr>
            <w:tcW w:w="2131" w:type="dxa"/>
            <w:tcBorders>
              <w:top w:val="nil"/>
              <w:left w:val="nil"/>
              <w:bottom w:val="nil"/>
              <w:right w:val="nil"/>
            </w:tcBorders>
            <w:shd w:val="clear" w:color="auto" w:fill="FFFFFF"/>
            <w:noWrap w:val="0"/>
            <w:vAlign w:val="top"/>
          </w:tcPr>
          <w:p w14:paraId="528A8E75">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人工智能学院</w:t>
            </w:r>
          </w:p>
        </w:tc>
      </w:tr>
      <w:tr w14:paraId="6CFA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single" w:color="4874CB" w:sz="12" w:space="0"/>
              <w:right w:val="nil"/>
            </w:tcBorders>
            <w:shd w:val="clear" w:color="auto" w:fill="FFFFFF"/>
            <w:noWrap w:val="0"/>
            <w:vAlign w:val="top"/>
          </w:tcPr>
          <w:p w14:paraId="3C5F603A">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10</w:t>
            </w:r>
          </w:p>
        </w:tc>
        <w:tc>
          <w:tcPr>
            <w:tcW w:w="2130" w:type="dxa"/>
            <w:tcBorders>
              <w:top w:val="nil"/>
              <w:left w:val="nil"/>
              <w:bottom w:val="single" w:color="4874CB" w:sz="12" w:space="0"/>
              <w:right w:val="nil"/>
            </w:tcBorders>
            <w:shd w:val="clear" w:color="auto" w:fill="FFFFFF"/>
            <w:noWrap w:val="0"/>
            <w:vAlign w:val="center"/>
          </w:tcPr>
          <w:p w14:paraId="39AF43B4">
            <w:pPr>
              <w:keepNext w:val="0"/>
              <w:keepLines w:val="0"/>
              <w:widowControl/>
              <w:suppressLineNumbers w:val="0"/>
              <w:jc w:val="left"/>
              <w:textAlignment w:val="center"/>
              <w:rPr>
                <w:rFonts w:hint="default" w:ascii="宋体" w:hAnsi="宋体" w:eastAsia="宋体" w:cs="宋体"/>
                <w:b w:val="0"/>
                <w:i w:val="0"/>
                <w:iCs w:val="0"/>
                <w:color w:val="000000"/>
                <w:kern w:val="2"/>
                <w:sz w:val="22"/>
                <w:szCs w:val="22"/>
                <w:u w:val="none"/>
                <w:lang w:val="en-US" w:eastAsia="zh-CN" w:bidi="ar-SA"/>
              </w:rPr>
            </w:pPr>
            <w:r>
              <w:rPr>
                <w:rFonts w:hint="eastAsia" w:ascii="宋体" w:hAnsi="宋体" w:eastAsia="宋体" w:cs="宋体"/>
                <w:b w:val="0"/>
                <w:i w:val="0"/>
                <w:iCs w:val="0"/>
                <w:color w:val="000000"/>
                <w:kern w:val="0"/>
                <w:sz w:val="22"/>
                <w:szCs w:val="22"/>
                <w:u w:val="none"/>
                <w:lang w:val="en-US" w:eastAsia="zh-CN" w:bidi="ar"/>
              </w:rPr>
              <w:t>刘永鑫</w:t>
            </w:r>
          </w:p>
        </w:tc>
        <w:tc>
          <w:tcPr>
            <w:tcW w:w="2130" w:type="dxa"/>
            <w:tcBorders>
              <w:top w:val="nil"/>
              <w:left w:val="nil"/>
              <w:bottom w:val="single" w:color="4874CB" w:sz="12" w:space="0"/>
              <w:right w:val="nil"/>
            </w:tcBorders>
            <w:shd w:val="clear" w:color="auto" w:fill="FFFFFF"/>
            <w:noWrap w:val="0"/>
            <w:vAlign w:val="center"/>
          </w:tcPr>
          <w:p w14:paraId="25DED7FC">
            <w:pPr>
              <w:rPr>
                <w:rFonts w:hint="default" w:ascii="宋体" w:hAnsi="宋体" w:eastAsia="宋体" w:cs="宋体"/>
                <w:b w:val="0"/>
                <w:i w:val="0"/>
                <w:iCs w:val="0"/>
                <w:color w:val="000000"/>
                <w:kern w:val="2"/>
                <w:sz w:val="22"/>
                <w:szCs w:val="22"/>
                <w:u w:val="none"/>
                <w:lang w:val="en-US" w:eastAsia="zh-CN" w:bidi="ar-SA"/>
              </w:rPr>
            </w:pPr>
            <w:r>
              <w:rPr>
                <w:rFonts w:hint="eastAsia" w:ascii="宋体" w:hAnsi="宋体" w:eastAsia="宋体" w:cs="宋体"/>
                <w:b w:val="0"/>
                <w:i w:val="0"/>
                <w:iCs w:val="0"/>
                <w:color w:val="000000"/>
                <w:kern w:val="0"/>
                <w:sz w:val="22"/>
                <w:szCs w:val="22"/>
                <w:u w:val="none"/>
                <w:lang w:val="en-US" w:eastAsia="zh-CN" w:bidi="ar"/>
              </w:rPr>
              <w:t>63</w:t>
            </w:r>
          </w:p>
        </w:tc>
        <w:tc>
          <w:tcPr>
            <w:tcW w:w="2131" w:type="dxa"/>
            <w:tcBorders>
              <w:top w:val="nil"/>
              <w:left w:val="nil"/>
              <w:bottom w:val="single" w:color="4874CB" w:sz="12" w:space="0"/>
              <w:right w:val="nil"/>
            </w:tcBorders>
            <w:shd w:val="clear" w:color="auto" w:fill="FFFFFF"/>
            <w:noWrap w:val="0"/>
            <w:vAlign w:val="center"/>
          </w:tcPr>
          <w:p w14:paraId="5E5D509C">
            <w:pPr>
              <w:keepNext w:val="0"/>
              <w:keepLines w:val="0"/>
              <w:widowControl/>
              <w:suppressLineNumbers w:val="0"/>
              <w:jc w:val="left"/>
              <w:textAlignment w:val="center"/>
              <w:rPr>
                <w:rFonts w:hint="default" w:ascii="宋体" w:hAnsi="宋体" w:eastAsia="宋体" w:cs="宋体"/>
                <w:b w:val="0"/>
                <w:i w:val="0"/>
                <w:iCs w:val="0"/>
                <w:color w:val="000000"/>
                <w:kern w:val="2"/>
                <w:sz w:val="22"/>
                <w:szCs w:val="22"/>
                <w:u w:val="none"/>
                <w:lang w:val="en-US" w:eastAsia="zh-CN" w:bidi="ar-SA"/>
              </w:rPr>
            </w:pPr>
            <w:r>
              <w:rPr>
                <w:rFonts w:hint="eastAsia" w:ascii="宋体" w:hAnsi="宋体" w:eastAsia="宋体" w:cs="宋体"/>
                <w:b w:val="0"/>
                <w:i w:val="0"/>
                <w:iCs w:val="0"/>
                <w:color w:val="000000"/>
                <w:kern w:val="0"/>
                <w:sz w:val="22"/>
                <w:szCs w:val="22"/>
                <w:u w:val="none"/>
                <w:lang w:val="en-US" w:eastAsia="zh-CN" w:bidi="ar"/>
              </w:rPr>
              <w:t>机电工程学院</w:t>
            </w:r>
          </w:p>
        </w:tc>
      </w:tr>
    </w:tbl>
    <w:p w14:paraId="59BD5272">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ascii="方正仿宋_GB2312" w:hAnsi="方正仿宋_GB2312" w:eastAsia="方正仿宋_GB2312" w:cs="方正仿宋_GB2312"/>
          <w:kern w:val="2"/>
          <w:sz w:val="32"/>
          <w:szCs w:val="32"/>
          <w:lang w:val="en-US" w:eastAsia="zh-CN" w:bidi="ar-SA"/>
        </w:rPr>
      </w:pPr>
      <w:r>
        <w:rPr>
          <w:rFonts w:hint="eastAsia" w:cs="方正仿宋_GB2312"/>
          <w:kern w:val="2"/>
          <w:sz w:val="32"/>
          <w:szCs w:val="32"/>
          <w:lang w:val="en-US" w:eastAsia="zh-CN" w:bidi="ar-SA"/>
        </w:rPr>
        <w:t>在</w:t>
      </w:r>
      <w:r>
        <w:rPr>
          <w:rFonts w:hint="default" w:ascii="方正仿宋_GB2312" w:hAnsi="方正仿宋_GB2312" w:eastAsia="方正仿宋_GB2312" w:cs="方正仿宋_GB2312"/>
          <w:kern w:val="2"/>
          <w:sz w:val="32"/>
          <w:szCs w:val="32"/>
          <w:lang w:val="en-US" w:eastAsia="zh-CN" w:bidi="ar-SA"/>
        </w:rPr>
        <w:t>学生读者层面</w:t>
      </w:r>
      <w:r>
        <w:rPr>
          <w:rFonts w:hint="eastAsia" w:cs="方正仿宋_GB2312"/>
          <w:kern w:val="2"/>
          <w:sz w:val="32"/>
          <w:szCs w:val="32"/>
          <w:lang w:val="en-US" w:eastAsia="zh-CN" w:bidi="ar-SA"/>
        </w:rPr>
        <w:t>，</w:t>
      </w:r>
      <w:r>
        <w:rPr>
          <w:rFonts w:hint="default" w:ascii="方正仿宋_GB2312" w:hAnsi="方正仿宋_GB2312" w:eastAsia="方正仿宋_GB2312" w:cs="方正仿宋_GB2312"/>
          <w:kern w:val="2"/>
          <w:sz w:val="32"/>
          <w:szCs w:val="32"/>
          <w:lang w:val="en-US" w:eastAsia="zh-CN" w:bidi="ar-SA"/>
        </w:rPr>
        <w:t>借阅前十的</w:t>
      </w:r>
      <w:r>
        <w:rPr>
          <w:rFonts w:hint="eastAsia" w:cs="方正仿宋_GB2312"/>
          <w:kern w:val="2"/>
          <w:sz w:val="32"/>
          <w:szCs w:val="32"/>
          <w:lang w:val="en-US" w:eastAsia="zh-CN" w:bidi="ar-SA"/>
        </w:rPr>
        <w:t>读者</w:t>
      </w:r>
      <w:r>
        <w:rPr>
          <w:rFonts w:hint="default" w:ascii="方正仿宋_GB2312" w:hAnsi="方正仿宋_GB2312" w:eastAsia="方正仿宋_GB2312" w:cs="方正仿宋_GB2312"/>
          <w:kern w:val="2"/>
          <w:sz w:val="32"/>
          <w:szCs w:val="32"/>
          <w:lang w:val="en-US" w:eastAsia="zh-CN" w:bidi="ar-SA"/>
        </w:rPr>
        <w:t>分布于医学护理、机电工程、文化与旅游、人工智能、材料工程等多个学院，显示出阅读热情在全校范围内的广泛存在。其中，医学护理学院与机电工程学院的学生表现尤为突出，各有两位及以上的同学上榜，反映了这些学院浓厚的学风和学生对课外阅读的积极投入。</w:t>
      </w:r>
    </w:p>
    <w:p w14:paraId="58060164">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ascii="方正仿宋_GB2312" w:hAnsi="方正仿宋_GB2312" w:eastAsia="方正仿宋_GB2312" w:cs="方正仿宋_GB2312"/>
          <w:kern w:val="2"/>
          <w:sz w:val="32"/>
          <w:szCs w:val="32"/>
          <w:lang w:val="en-US" w:eastAsia="zh-CN" w:bidi="ar-SA"/>
        </w:rPr>
      </w:pPr>
    </w:p>
    <w:p w14:paraId="5A34F529">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rPr>
          <w:rFonts w:hint="default"/>
          <w:sz w:val="28"/>
          <w:szCs w:val="28"/>
          <w:lang w:val="en-US" w:eastAsia="zh-CN"/>
        </w:rPr>
      </w:pPr>
      <w:r>
        <w:rPr>
          <w:rFonts w:hint="eastAsia"/>
          <w:sz w:val="28"/>
          <w:szCs w:val="28"/>
          <w:lang w:val="en-US" w:eastAsia="zh-CN"/>
        </w:rPr>
        <w:t>表4 2025年教职工读者借阅排行榜</w:t>
      </w:r>
    </w:p>
    <w:tbl>
      <w:tblPr>
        <w:tblStyle w:val="10"/>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0"/>
        <w:gridCol w:w="2131"/>
      </w:tblGrid>
      <w:tr w14:paraId="1AAD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4874CB" w:sz="12" w:space="0"/>
              <w:left w:val="nil"/>
              <w:bottom w:val="single" w:color="4874CB" w:sz="4" w:space="0"/>
              <w:right w:val="nil"/>
              <w:tl2br w:val="nil"/>
            </w:tcBorders>
            <w:shd w:val="clear" w:color="auto" w:fill="91ACE0"/>
            <w:noWrap w:val="0"/>
            <w:vAlign w:val="top"/>
          </w:tcPr>
          <w:p w14:paraId="53E8CDA5">
            <w:pPr>
              <w:rPr>
                <w:rFonts w:hint="default"/>
                <w:b/>
                <w:color w:val="000000"/>
                <w:vertAlign w:val="baseline"/>
                <w:lang w:val="en-US" w:eastAsia="zh-CN"/>
              </w:rPr>
            </w:pPr>
            <w:r>
              <w:rPr>
                <w:rFonts w:hint="eastAsia"/>
                <w:b/>
                <w:color w:val="000000"/>
                <w:vertAlign w:val="baseline"/>
                <w:lang w:val="en-US" w:eastAsia="zh-CN"/>
              </w:rPr>
              <w:t>序号</w:t>
            </w:r>
          </w:p>
        </w:tc>
        <w:tc>
          <w:tcPr>
            <w:tcW w:w="2130" w:type="dxa"/>
            <w:tcBorders>
              <w:top w:val="single" w:color="4874CB" w:sz="12" w:space="0"/>
              <w:left w:val="nil"/>
              <w:bottom w:val="single" w:color="4874CB" w:sz="4" w:space="0"/>
              <w:right w:val="nil"/>
            </w:tcBorders>
            <w:shd w:val="clear" w:color="auto" w:fill="91ACE0"/>
            <w:noWrap w:val="0"/>
            <w:vAlign w:val="top"/>
          </w:tcPr>
          <w:p w14:paraId="5859F238">
            <w:pPr>
              <w:rPr>
                <w:rFonts w:hint="default"/>
                <w:b/>
                <w:color w:val="000000"/>
                <w:vertAlign w:val="baseline"/>
                <w:lang w:val="en-US" w:eastAsia="zh-CN"/>
              </w:rPr>
            </w:pPr>
            <w:r>
              <w:rPr>
                <w:rFonts w:hint="eastAsia"/>
                <w:b/>
                <w:color w:val="000000"/>
                <w:vertAlign w:val="baseline"/>
                <w:lang w:val="en-US" w:eastAsia="zh-CN"/>
              </w:rPr>
              <w:t>读者姓名</w:t>
            </w:r>
          </w:p>
        </w:tc>
        <w:tc>
          <w:tcPr>
            <w:tcW w:w="2130" w:type="dxa"/>
            <w:tcBorders>
              <w:top w:val="single" w:color="4874CB" w:sz="12" w:space="0"/>
              <w:left w:val="nil"/>
              <w:bottom w:val="single" w:color="4874CB" w:sz="4" w:space="0"/>
              <w:right w:val="nil"/>
            </w:tcBorders>
            <w:shd w:val="clear" w:color="auto" w:fill="91ACE0"/>
            <w:noWrap w:val="0"/>
            <w:vAlign w:val="top"/>
          </w:tcPr>
          <w:p w14:paraId="3AFD75C2">
            <w:pPr>
              <w:rPr>
                <w:rFonts w:hint="default"/>
                <w:b/>
                <w:color w:val="000000"/>
                <w:vertAlign w:val="baseline"/>
                <w:lang w:val="en-US" w:eastAsia="zh-CN"/>
              </w:rPr>
            </w:pPr>
            <w:r>
              <w:rPr>
                <w:rFonts w:hint="eastAsia"/>
                <w:b/>
                <w:color w:val="000000"/>
                <w:vertAlign w:val="baseline"/>
                <w:lang w:val="en-US" w:eastAsia="zh-CN"/>
              </w:rPr>
              <w:t>借阅册次</w:t>
            </w:r>
          </w:p>
        </w:tc>
        <w:tc>
          <w:tcPr>
            <w:tcW w:w="2131" w:type="dxa"/>
            <w:tcBorders>
              <w:top w:val="single" w:color="4874CB" w:sz="12" w:space="0"/>
              <w:left w:val="nil"/>
              <w:bottom w:val="single" w:color="4874CB" w:sz="4" w:space="0"/>
              <w:right w:val="nil"/>
            </w:tcBorders>
            <w:shd w:val="clear" w:color="auto" w:fill="91ACE0"/>
            <w:noWrap w:val="0"/>
            <w:vAlign w:val="top"/>
          </w:tcPr>
          <w:p w14:paraId="5DEADE70">
            <w:pPr>
              <w:rPr>
                <w:rFonts w:hint="default"/>
                <w:b/>
                <w:color w:val="000000"/>
                <w:vertAlign w:val="baseline"/>
                <w:lang w:val="en-US" w:eastAsia="zh-CN"/>
              </w:rPr>
            </w:pPr>
            <w:r>
              <w:rPr>
                <w:rFonts w:hint="eastAsia"/>
                <w:b/>
                <w:color w:val="000000"/>
                <w:vertAlign w:val="baseline"/>
                <w:lang w:val="en-US" w:eastAsia="zh-CN"/>
              </w:rPr>
              <w:t>院系/部门</w:t>
            </w:r>
          </w:p>
        </w:tc>
      </w:tr>
      <w:tr w14:paraId="72AA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4874CB" w:sz="4" w:space="0"/>
              <w:left w:val="nil"/>
              <w:bottom w:val="nil"/>
              <w:right w:val="nil"/>
            </w:tcBorders>
            <w:shd w:val="clear" w:color="auto" w:fill="FFFFFF"/>
            <w:noWrap w:val="0"/>
            <w:vAlign w:val="top"/>
          </w:tcPr>
          <w:p w14:paraId="19C5659B">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1</w:t>
            </w:r>
          </w:p>
        </w:tc>
        <w:tc>
          <w:tcPr>
            <w:tcW w:w="2130" w:type="dxa"/>
            <w:tcBorders>
              <w:top w:val="single" w:color="4874CB" w:sz="4" w:space="0"/>
              <w:left w:val="nil"/>
              <w:bottom w:val="nil"/>
              <w:right w:val="nil"/>
            </w:tcBorders>
            <w:shd w:val="clear" w:color="auto" w:fill="FFFFFF"/>
            <w:noWrap w:val="0"/>
            <w:vAlign w:val="top"/>
          </w:tcPr>
          <w:p w14:paraId="20D6E928">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苏小莉</w:t>
            </w:r>
          </w:p>
        </w:tc>
        <w:tc>
          <w:tcPr>
            <w:tcW w:w="2130" w:type="dxa"/>
            <w:tcBorders>
              <w:top w:val="single" w:color="4874CB" w:sz="4" w:space="0"/>
              <w:left w:val="nil"/>
              <w:bottom w:val="nil"/>
              <w:right w:val="nil"/>
            </w:tcBorders>
            <w:shd w:val="clear" w:color="auto" w:fill="FFFFFF"/>
            <w:noWrap w:val="0"/>
            <w:vAlign w:val="top"/>
          </w:tcPr>
          <w:p w14:paraId="5EF5766C">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149</w:t>
            </w:r>
          </w:p>
        </w:tc>
        <w:tc>
          <w:tcPr>
            <w:tcW w:w="2131" w:type="dxa"/>
            <w:tcBorders>
              <w:top w:val="single" w:color="4874CB" w:sz="4" w:space="0"/>
              <w:left w:val="nil"/>
              <w:bottom w:val="nil"/>
              <w:right w:val="nil"/>
            </w:tcBorders>
            <w:shd w:val="clear" w:color="auto" w:fill="FFFFFF"/>
            <w:noWrap w:val="0"/>
            <w:vAlign w:val="top"/>
          </w:tcPr>
          <w:p w14:paraId="0259D219">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材料工程学院</w:t>
            </w:r>
          </w:p>
        </w:tc>
      </w:tr>
      <w:tr w14:paraId="0F9D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092FBB20">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2</w:t>
            </w:r>
          </w:p>
        </w:tc>
        <w:tc>
          <w:tcPr>
            <w:tcW w:w="2130" w:type="dxa"/>
            <w:tcBorders>
              <w:top w:val="nil"/>
              <w:left w:val="nil"/>
              <w:bottom w:val="nil"/>
              <w:right w:val="nil"/>
            </w:tcBorders>
            <w:shd w:val="clear" w:color="auto" w:fill="FFFFFF"/>
            <w:noWrap w:val="0"/>
            <w:vAlign w:val="top"/>
          </w:tcPr>
          <w:p w14:paraId="33D48F41">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王婷婷</w:t>
            </w:r>
          </w:p>
        </w:tc>
        <w:tc>
          <w:tcPr>
            <w:tcW w:w="2130" w:type="dxa"/>
            <w:tcBorders>
              <w:top w:val="nil"/>
              <w:left w:val="nil"/>
              <w:bottom w:val="nil"/>
              <w:right w:val="nil"/>
            </w:tcBorders>
            <w:shd w:val="clear" w:color="auto" w:fill="FFFFFF"/>
            <w:noWrap w:val="0"/>
            <w:vAlign w:val="top"/>
          </w:tcPr>
          <w:p w14:paraId="1873E976">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147</w:t>
            </w:r>
          </w:p>
        </w:tc>
        <w:tc>
          <w:tcPr>
            <w:tcW w:w="2131" w:type="dxa"/>
            <w:tcBorders>
              <w:top w:val="nil"/>
              <w:left w:val="nil"/>
              <w:bottom w:val="nil"/>
              <w:right w:val="nil"/>
            </w:tcBorders>
            <w:shd w:val="clear" w:color="auto" w:fill="FFFFFF"/>
            <w:noWrap w:val="0"/>
            <w:vAlign w:val="top"/>
          </w:tcPr>
          <w:p w14:paraId="732C0019">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建筑工程学院</w:t>
            </w:r>
          </w:p>
        </w:tc>
      </w:tr>
      <w:tr w14:paraId="3059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1BECDB61">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3</w:t>
            </w:r>
          </w:p>
        </w:tc>
        <w:tc>
          <w:tcPr>
            <w:tcW w:w="2130" w:type="dxa"/>
            <w:tcBorders>
              <w:top w:val="nil"/>
              <w:left w:val="nil"/>
              <w:bottom w:val="nil"/>
              <w:right w:val="nil"/>
            </w:tcBorders>
            <w:shd w:val="clear" w:color="auto" w:fill="FFFFFF"/>
            <w:noWrap w:val="0"/>
            <w:vAlign w:val="top"/>
          </w:tcPr>
          <w:p w14:paraId="324D4530">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吕颖利</w:t>
            </w:r>
          </w:p>
        </w:tc>
        <w:tc>
          <w:tcPr>
            <w:tcW w:w="2130" w:type="dxa"/>
            <w:tcBorders>
              <w:top w:val="nil"/>
              <w:left w:val="nil"/>
              <w:bottom w:val="nil"/>
              <w:right w:val="nil"/>
            </w:tcBorders>
            <w:shd w:val="clear" w:color="auto" w:fill="FFFFFF"/>
            <w:noWrap w:val="0"/>
            <w:vAlign w:val="top"/>
          </w:tcPr>
          <w:p w14:paraId="03EF50A7">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138</w:t>
            </w:r>
          </w:p>
        </w:tc>
        <w:tc>
          <w:tcPr>
            <w:tcW w:w="2131" w:type="dxa"/>
            <w:tcBorders>
              <w:top w:val="nil"/>
              <w:left w:val="nil"/>
              <w:bottom w:val="nil"/>
              <w:right w:val="nil"/>
            </w:tcBorders>
            <w:shd w:val="clear" w:color="auto" w:fill="FFFFFF"/>
            <w:noWrap w:val="0"/>
            <w:vAlign w:val="top"/>
          </w:tcPr>
          <w:p w14:paraId="34B49B84">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机电工程学院</w:t>
            </w:r>
          </w:p>
        </w:tc>
      </w:tr>
      <w:tr w14:paraId="7AC3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66E135CC">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4</w:t>
            </w:r>
          </w:p>
        </w:tc>
        <w:tc>
          <w:tcPr>
            <w:tcW w:w="2130" w:type="dxa"/>
            <w:tcBorders>
              <w:top w:val="nil"/>
              <w:left w:val="nil"/>
              <w:bottom w:val="nil"/>
              <w:right w:val="nil"/>
            </w:tcBorders>
            <w:shd w:val="clear" w:color="auto" w:fill="FFFFFF"/>
            <w:noWrap w:val="0"/>
            <w:vAlign w:val="top"/>
          </w:tcPr>
          <w:p w14:paraId="53599054">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邵莉莉</w:t>
            </w:r>
          </w:p>
        </w:tc>
        <w:tc>
          <w:tcPr>
            <w:tcW w:w="2130" w:type="dxa"/>
            <w:tcBorders>
              <w:top w:val="nil"/>
              <w:left w:val="nil"/>
              <w:bottom w:val="nil"/>
              <w:right w:val="nil"/>
            </w:tcBorders>
            <w:shd w:val="clear" w:color="auto" w:fill="FFFFFF"/>
            <w:noWrap w:val="0"/>
            <w:vAlign w:val="top"/>
          </w:tcPr>
          <w:p w14:paraId="050113A4">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128</w:t>
            </w:r>
          </w:p>
        </w:tc>
        <w:tc>
          <w:tcPr>
            <w:tcW w:w="2131" w:type="dxa"/>
            <w:tcBorders>
              <w:top w:val="nil"/>
              <w:left w:val="nil"/>
              <w:bottom w:val="nil"/>
              <w:right w:val="nil"/>
            </w:tcBorders>
            <w:shd w:val="clear" w:color="auto" w:fill="FFFFFF"/>
            <w:noWrap w:val="0"/>
            <w:vAlign w:val="top"/>
          </w:tcPr>
          <w:p w14:paraId="7A1B941D">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后勤保障处</w:t>
            </w:r>
          </w:p>
        </w:tc>
      </w:tr>
      <w:tr w14:paraId="4C72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1850FBB5">
            <w:pPr>
              <w:rPr>
                <w:rFonts w:hint="default" w:ascii="宋体" w:hAnsi="宋体" w:eastAsia="宋体" w:cs="宋体"/>
                <w:b w:val="0"/>
                <w:i w:val="0"/>
                <w:iCs w:val="0"/>
                <w:color w:val="000000"/>
                <w:kern w:val="0"/>
                <w:sz w:val="22"/>
                <w:szCs w:val="22"/>
                <w:highlight w:val="yellow"/>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5</w:t>
            </w:r>
          </w:p>
        </w:tc>
        <w:tc>
          <w:tcPr>
            <w:tcW w:w="2130" w:type="dxa"/>
            <w:tcBorders>
              <w:top w:val="nil"/>
              <w:left w:val="nil"/>
              <w:bottom w:val="nil"/>
              <w:right w:val="nil"/>
            </w:tcBorders>
            <w:shd w:val="clear" w:color="auto" w:fill="FFFFFF"/>
            <w:noWrap w:val="0"/>
            <w:vAlign w:val="top"/>
          </w:tcPr>
          <w:p w14:paraId="4F86CF73">
            <w:pPr>
              <w:rPr>
                <w:rFonts w:hint="default"/>
                <w:b w:val="0"/>
                <w:color w:val="000000"/>
                <w:highlight w:val="yellow"/>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郑伟</w:t>
            </w:r>
          </w:p>
        </w:tc>
        <w:tc>
          <w:tcPr>
            <w:tcW w:w="2130" w:type="dxa"/>
            <w:tcBorders>
              <w:top w:val="nil"/>
              <w:left w:val="nil"/>
              <w:bottom w:val="nil"/>
              <w:right w:val="nil"/>
            </w:tcBorders>
            <w:shd w:val="clear" w:color="auto" w:fill="FFFFFF"/>
            <w:noWrap w:val="0"/>
            <w:vAlign w:val="top"/>
          </w:tcPr>
          <w:p w14:paraId="5CE12B0B">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119</w:t>
            </w:r>
          </w:p>
        </w:tc>
        <w:tc>
          <w:tcPr>
            <w:tcW w:w="2131" w:type="dxa"/>
            <w:tcBorders>
              <w:top w:val="nil"/>
              <w:left w:val="nil"/>
              <w:bottom w:val="nil"/>
              <w:right w:val="nil"/>
            </w:tcBorders>
            <w:shd w:val="clear" w:color="auto" w:fill="FFFFFF"/>
            <w:noWrap w:val="0"/>
            <w:vAlign w:val="top"/>
          </w:tcPr>
          <w:p w14:paraId="48A1215B">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材料工程学院</w:t>
            </w:r>
          </w:p>
        </w:tc>
      </w:tr>
      <w:tr w14:paraId="5E10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2BDC4722">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6</w:t>
            </w:r>
          </w:p>
        </w:tc>
        <w:tc>
          <w:tcPr>
            <w:tcW w:w="2130" w:type="dxa"/>
            <w:tcBorders>
              <w:top w:val="nil"/>
              <w:left w:val="nil"/>
              <w:bottom w:val="nil"/>
              <w:right w:val="nil"/>
            </w:tcBorders>
            <w:shd w:val="clear" w:color="auto" w:fill="FFFFFF"/>
            <w:noWrap w:val="0"/>
            <w:vAlign w:val="top"/>
          </w:tcPr>
          <w:p w14:paraId="6A0B806B">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王新建</w:t>
            </w:r>
          </w:p>
        </w:tc>
        <w:tc>
          <w:tcPr>
            <w:tcW w:w="2130" w:type="dxa"/>
            <w:tcBorders>
              <w:top w:val="nil"/>
              <w:left w:val="nil"/>
              <w:bottom w:val="nil"/>
              <w:right w:val="nil"/>
            </w:tcBorders>
            <w:shd w:val="clear" w:color="auto" w:fill="FFFFFF"/>
            <w:noWrap w:val="0"/>
            <w:vAlign w:val="top"/>
          </w:tcPr>
          <w:p w14:paraId="2AA5247C">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111</w:t>
            </w:r>
          </w:p>
        </w:tc>
        <w:tc>
          <w:tcPr>
            <w:tcW w:w="2131" w:type="dxa"/>
            <w:tcBorders>
              <w:top w:val="nil"/>
              <w:left w:val="nil"/>
              <w:bottom w:val="nil"/>
              <w:right w:val="nil"/>
            </w:tcBorders>
            <w:shd w:val="clear" w:color="auto" w:fill="FFFFFF"/>
            <w:noWrap w:val="0"/>
            <w:vAlign w:val="top"/>
          </w:tcPr>
          <w:p w14:paraId="0348969B">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后勤保障处</w:t>
            </w:r>
          </w:p>
        </w:tc>
      </w:tr>
      <w:tr w14:paraId="35B7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68C79034">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7</w:t>
            </w:r>
          </w:p>
        </w:tc>
        <w:tc>
          <w:tcPr>
            <w:tcW w:w="2130" w:type="dxa"/>
            <w:tcBorders>
              <w:top w:val="nil"/>
              <w:left w:val="nil"/>
              <w:bottom w:val="nil"/>
              <w:right w:val="nil"/>
            </w:tcBorders>
            <w:shd w:val="clear" w:color="auto" w:fill="FFFFFF"/>
            <w:noWrap w:val="0"/>
            <w:vAlign w:val="top"/>
          </w:tcPr>
          <w:p w14:paraId="6B2297C1">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牛锋雷</w:t>
            </w:r>
          </w:p>
        </w:tc>
        <w:tc>
          <w:tcPr>
            <w:tcW w:w="2130" w:type="dxa"/>
            <w:tcBorders>
              <w:top w:val="nil"/>
              <w:left w:val="nil"/>
              <w:bottom w:val="nil"/>
              <w:right w:val="nil"/>
            </w:tcBorders>
            <w:shd w:val="clear" w:color="auto" w:fill="FFFFFF"/>
            <w:noWrap w:val="0"/>
            <w:vAlign w:val="top"/>
          </w:tcPr>
          <w:p w14:paraId="56511663">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110</w:t>
            </w:r>
          </w:p>
        </w:tc>
        <w:tc>
          <w:tcPr>
            <w:tcW w:w="2131" w:type="dxa"/>
            <w:tcBorders>
              <w:top w:val="nil"/>
              <w:left w:val="nil"/>
              <w:bottom w:val="nil"/>
              <w:right w:val="nil"/>
            </w:tcBorders>
            <w:shd w:val="clear" w:color="auto" w:fill="FFFFFF"/>
            <w:noWrap w:val="0"/>
            <w:vAlign w:val="top"/>
          </w:tcPr>
          <w:p w14:paraId="7D2EFF2F">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体育部</w:t>
            </w:r>
          </w:p>
        </w:tc>
      </w:tr>
      <w:tr w14:paraId="610E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7C73EB51">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8</w:t>
            </w:r>
          </w:p>
        </w:tc>
        <w:tc>
          <w:tcPr>
            <w:tcW w:w="2130" w:type="dxa"/>
            <w:tcBorders>
              <w:top w:val="nil"/>
              <w:left w:val="nil"/>
              <w:bottom w:val="nil"/>
              <w:right w:val="nil"/>
            </w:tcBorders>
            <w:shd w:val="clear" w:color="auto" w:fill="FFFFFF"/>
            <w:noWrap w:val="0"/>
            <w:vAlign w:val="center"/>
          </w:tcPr>
          <w:p w14:paraId="6A91044C">
            <w:pPr>
              <w:keepNext w:val="0"/>
              <w:keepLines w:val="0"/>
              <w:widowControl/>
              <w:suppressLineNumbers w:val="0"/>
              <w:jc w:val="left"/>
              <w:textAlignment w:val="cente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杨继朋</w:t>
            </w:r>
          </w:p>
        </w:tc>
        <w:tc>
          <w:tcPr>
            <w:tcW w:w="2130" w:type="dxa"/>
            <w:tcBorders>
              <w:top w:val="nil"/>
              <w:left w:val="nil"/>
              <w:bottom w:val="nil"/>
              <w:right w:val="nil"/>
            </w:tcBorders>
            <w:shd w:val="clear" w:color="auto" w:fill="FFFFFF"/>
            <w:noWrap w:val="0"/>
            <w:vAlign w:val="center"/>
          </w:tcPr>
          <w:p w14:paraId="41FCE8B8">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88</w:t>
            </w:r>
          </w:p>
        </w:tc>
        <w:tc>
          <w:tcPr>
            <w:tcW w:w="2131" w:type="dxa"/>
            <w:tcBorders>
              <w:top w:val="nil"/>
              <w:left w:val="nil"/>
              <w:bottom w:val="nil"/>
              <w:right w:val="nil"/>
            </w:tcBorders>
            <w:shd w:val="clear" w:color="auto" w:fill="FFFFFF"/>
            <w:noWrap w:val="0"/>
            <w:vAlign w:val="center"/>
          </w:tcPr>
          <w:p w14:paraId="1536049F">
            <w:pPr>
              <w:keepNext w:val="0"/>
              <w:keepLines w:val="0"/>
              <w:widowControl/>
              <w:suppressLineNumbers w:val="0"/>
              <w:jc w:val="left"/>
              <w:textAlignment w:val="cente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材料工程学院</w:t>
            </w:r>
          </w:p>
        </w:tc>
      </w:tr>
      <w:tr w14:paraId="4927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noWrap w:val="0"/>
            <w:vAlign w:val="top"/>
          </w:tcPr>
          <w:p w14:paraId="11997D58">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9</w:t>
            </w:r>
          </w:p>
        </w:tc>
        <w:tc>
          <w:tcPr>
            <w:tcW w:w="2130" w:type="dxa"/>
            <w:tcBorders>
              <w:top w:val="nil"/>
              <w:left w:val="nil"/>
              <w:bottom w:val="nil"/>
              <w:right w:val="nil"/>
            </w:tcBorders>
            <w:shd w:val="clear" w:color="auto" w:fill="FFFFFF"/>
            <w:noWrap w:val="0"/>
            <w:vAlign w:val="center"/>
          </w:tcPr>
          <w:p w14:paraId="263A203B">
            <w:pPr>
              <w:keepNext w:val="0"/>
              <w:keepLines w:val="0"/>
              <w:widowControl/>
              <w:suppressLineNumbers w:val="0"/>
              <w:jc w:val="left"/>
              <w:textAlignment w:val="center"/>
              <w:rPr>
                <w:rFonts w:hint="eastAsia" w:ascii="宋体" w:hAnsi="宋体" w:eastAsia="宋体" w:cs="宋体"/>
                <w:b w:val="0"/>
                <w:i w:val="0"/>
                <w:iCs w:val="0"/>
                <w:color w:val="000000"/>
                <w:kern w:val="2"/>
                <w:sz w:val="22"/>
                <w:szCs w:val="22"/>
                <w:u w:val="none"/>
                <w:lang w:val="en-US" w:eastAsia="zh-CN" w:bidi="ar-SA"/>
              </w:rPr>
            </w:pPr>
            <w:r>
              <w:rPr>
                <w:rFonts w:hint="eastAsia" w:ascii="宋体" w:hAnsi="宋体" w:eastAsia="宋体" w:cs="宋体"/>
                <w:b w:val="0"/>
                <w:i w:val="0"/>
                <w:iCs w:val="0"/>
                <w:color w:val="000000"/>
                <w:kern w:val="0"/>
                <w:sz w:val="22"/>
                <w:szCs w:val="22"/>
                <w:u w:val="none"/>
                <w:lang w:val="en-US" w:eastAsia="zh-CN" w:bidi="ar"/>
              </w:rPr>
              <w:t>陈彦晓</w:t>
            </w:r>
          </w:p>
        </w:tc>
        <w:tc>
          <w:tcPr>
            <w:tcW w:w="2130" w:type="dxa"/>
            <w:tcBorders>
              <w:top w:val="nil"/>
              <w:left w:val="nil"/>
              <w:bottom w:val="nil"/>
              <w:right w:val="nil"/>
            </w:tcBorders>
            <w:shd w:val="clear" w:color="auto" w:fill="FFFFFF"/>
            <w:noWrap w:val="0"/>
            <w:vAlign w:val="center"/>
          </w:tcPr>
          <w:p w14:paraId="4BE981E5">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81</w:t>
            </w:r>
          </w:p>
        </w:tc>
        <w:tc>
          <w:tcPr>
            <w:tcW w:w="2131" w:type="dxa"/>
            <w:tcBorders>
              <w:top w:val="nil"/>
              <w:left w:val="nil"/>
              <w:bottom w:val="nil"/>
              <w:right w:val="nil"/>
            </w:tcBorders>
            <w:shd w:val="clear" w:color="auto" w:fill="FFFFFF"/>
            <w:noWrap w:val="0"/>
            <w:vAlign w:val="center"/>
          </w:tcPr>
          <w:p w14:paraId="3523F162">
            <w:pPr>
              <w:keepNext w:val="0"/>
              <w:keepLines w:val="0"/>
              <w:widowControl/>
              <w:suppressLineNumbers w:val="0"/>
              <w:jc w:val="left"/>
              <w:textAlignment w:val="center"/>
              <w:rPr>
                <w:rFonts w:hint="eastAsia" w:ascii="宋体" w:hAnsi="宋体" w:eastAsia="宋体" w:cs="宋体"/>
                <w:b w:val="0"/>
                <w:i w:val="0"/>
                <w:iCs w:val="0"/>
                <w:color w:val="000000"/>
                <w:kern w:val="2"/>
                <w:sz w:val="22"/>
                <w:szCs w:val="22"/>
                <w:u w:val="none"/>
                <w:lang w:val="en-US" w:eastAsia="zh-CN" w:bidi="ar-SA"/>
              </w:rPr>
            </w:pPr>
            <w:r>
              <w:rPr>
                <w:rFonts w:hint="eastAsia" w:ascii="宋体" w:hAnsi="宋体" w:eastAsia="宋体" w:cs="宋体"/>
                <w:b w:val="0"/>
                <w:i w:val="0"/>
                <w:iCs w:val="0"/>
                <w:color w:val="000000"/>
                <w:kern w:val="0"/>
                <w:sz w:val="22"/>
                <w:szCs w:val="22"/>
                <w:u w:val="none"/>
                <w:lang w:val="en-US" w:eastAsia="zh-CN" w:bidi="ar"/>
              </w:rPr>
              <w:t>招生就业处</w:t>
            </w:r>
          </w:p>
        </w:tc>
      </w:tr>
      <w:tr w14:paraId="4165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130" w:type="dxa"/>
            <w:tcBorders>
              <w:top w:val="nil"/>
              <w:left w:val="nil"/>
              <w:bottom w:val="single" w:color="4874CB" w:sz="12" w:space="0"/>
              <w:right w:val="nil"/>
            </w:tcBorders>
            <w:shd w:val="clear" w:color="auto" w:fill="FFFFFF"/>
            <w:noWrap w:val="0"/>
            <w:vAlign w:val="top"/>
          </w:tcPr>
          <w:p w14:paraId="17DA08E6">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10</w:t>
            </w:r>
          </w:p>
        </w:tc>
        <w:tc>
          <w:tcPr>
            <w:tcW w:w="2130" w:type="dxa"/>
            <w:tcBorders>
              <w:top w:val="nil"/>
              <w:left w:val="nil"/>
              <w:bottom w:val="single" w:color="4874CB" w:sz="12" w:space="0"/>
              <w:right w:val="nil"/>
            </w:tcBorders>
            <w:shd w:val="clear" w:color="auto" w:fill="FFFFFF"/>
            <w:noWrap w:val="0"/>
            <w:vAlign w:val="center"/>
          </w:tcPr>
          <w:p w14:paraId="0AF8629C">
            <w:pPr>
              <w:keepNext w:val="0"/>
              <w:keepLines w:val="0"/>
              <w:widowControl/>
              <w:suppressLineNumbers w:val="0"/>
              <w:jc w:val="left"/>
              <w:textAlignment w:val="center"/>
              <w:rPr>
                <w:rFonts w:hint="eastAsia" w:ascii="宋体" w:hAnsi="宋体" w:eastAsia="宋体" w:cs="宋体"/>
                <w:b w:val="0"/>
                <w:i w:val="0"/>
                <w:iCs w:val="0"/>
                <w:color w:val="000000"/>
                <w:kern w:val="2"/>
                <w:sz w:val="22"/>
                <w:szCs w:val="22"/>
                <w:u w:val="none"/>
                <w:lang w:val="en-US" w:eastAsia="zh-CN" w:bidi="ar-SA"/>
              </w:rPr>
            </w:pPr>
            <w:r>
              <w:rPr>
                <w:rFonts w:hint="eastAsia" w:ascii="宋体" w:hAnsi="宋体" w:eastAsia="宋体" w:cs="宋体"/>
                <w:b w:val="0"/>
                <w:i w:val="0"/>
                <w:iCs w:val="0"/>
                <w:color w:val="000000"/>
                <w:kern w:val="0"/>
                <w:sz w:val="22"/>
                <w:szCs w:val="22"/>
                <w:u w:val="none"/>
                <w:lang w:val="en-US" w:eastAsia="zh-CN" w:bidi="ar"/>
              </w:rPr>
              <w:t>高春庚</w:t>
            </w:r>
          </w:p>
        </w:tc>
        <w:tc>
          <w:tcPr>
            <w:tcW w:w="2130" w:type="dxa"/>
            <w:tcBorders>
              <w:top w:val="nil"/>
              <w:left w:val="nil"/>
              <w:bottom w:val="single" w:color="4874CB" w:sz="12" w:space="0"/>
              <w:right w:val="nil"/>
            </w:tcBorders>
            <w:shd w:val="clear" w:color="auto" w:fill="FFFFFF"/>
            <w:noWrap w:val="0"/>
            <w:vAlign w:val="center"/>
          </w:tcPr>
          <w:p w14:paraId="6BA06063">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78</w:t>
            </w:r>
          </w:p>
        </w:tc>
        <w:tc>
          <w:tcPr>
            <w:tcW w:w="2131" w:type="dxa"/>
            <w:tcBorders>
              <w:top w:val="nil"/>
              <w:left w:val="nil"/>
              <w:bottom w:val="single" w:color="4874CB" w:sz="12" w:space="0"/>
              <w:right w:val="nil"/>
            </w:tcBorders>
            <w:shd w:val="clear" w:color="auto" w:fill="FFFFFF"/>
            <w:noWrap w:val="0"/>
            <w:vAlign w:val="center"/>
          </w:tcPr>
          <w:p w14:paraId="3503F0EF">
            <w:pPr>
              <w:keepNext w:val="0"/>
              <w:keepLines w:val="0"/>
              <w:widowControl/>
              <w:suppressLineNumbers w:val="0"/>
              <w:jc w:val="left"/>
              <w:textAlignment w:val="center"/>
              <w:rPr>
                <w:rFonts w:hint="eastAsia" w:ascii="宋体" w:hAnsi="宋体" w:eastAsia="宋体" w:cs="宋体"/>
                <w:b w:val="0"/>
                <w:i w:val="0"/>
                <w:iCs w:val="0"/>
                <w:color w:val="000000"/>
                <w:kern w:val="2"/>
                <w:sz w:val="22"/>
                <w:szCs w:val="22"/>
                <w:u w:val="none"/>
                <w:lang w:val="en-US" w:eastAsia="zh-CN" w:bidi="ar-SA"/>
              </w:rPr>
            </w:pPr>
            <w:r>
              <w:rPr>
                <w:rFonts w:hint="eastAsia" w:ascii="宋体" w:hAnsi="宋体" w:eastAsia="宋体" w:cs="宋体"/>
                <w:b w:val="0"/>
                <w:i w:val="0"/>
                <w:iCs w:val="0"/>
                <w:color w:val="000000"/>
                <w:kern w:val="0"/>
                <w:sz w:val="22"/>
                <w:szCs w:val="22"/>
                <w:u w:val="none"/>
                <w:lang w:val="en-US" w:eastAsia="zh-CN" w:bidi="ar"/>
              </w:rPr>
              <w:t>人工智能学院</w:t>
            </w:r>
          </w:p>
        </w:tc>
      </w:tr>
    </w:tbl>
    <w:p w14:paraId="0D822126">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960" w:firstLineChars="300"/>
        <w:textAlignment w:val="auto"/>
        <w:rPr>
          <w:rFonts w:hint="default" w:ascii="方正仿宋_GB2312" w:hAnsi="方正仿宋_GB2312" w:eastAsia="方正仿宋_GB2312" w:cs="方正仿宋_GB2312"/>
          <w:kern w:val="2"/>
          <w:sz w:val="32"/>
          <w:szCs w:val="32"/>
          <w:lang w:val="en-US" w:eastAsia="zh-CN" w:bidi="ar-SA"/>
        </w:rPr>
      </w:pPr>
      <w:r>
        <w:rPr>
          <w:rFonts w:hint="eastAsia" w:cs="方正仿宋_GB2312"/>
          <w:kern w:val="2"/>
          <w:sz w:val="32"/>
          <w:szCs w:val="32"/>
          <w:lang w:val="en-US" w:eastAsia="zh-CN" w:bidi="ar-SA"/>
        </w:rPr>
        <w:t>在</w:t>
      </w:r>
      <w:r>
        <w:rPr>
          <w:rFonts w:hint="default" w:ascii="方正仿宋_GB2312" w:hAnsi="方正仿宋_GB2312" w:eastAsia="方正仿宋_GB2312" w:cs="方正仿宋_GB2312"/>
          <w:kern w:val="2"/>
          <w:sz w:val="32"/>
          <w:szCs w:val="32"/>
          <w:lang w:val="en-US" w:eastAsia="zh-CN" w:bidi="ar-SA"/>
        </w:rPr>
        <w:t>教职工读者层面</w:t>
      </w:r>
      <w:r>
        <w:rPr>
          <w:rFonts w:hint="eastAsia" w:cs="方正仿宋_GB2312"/>
          <w:kern w:val="2"/>
          <w:sz w:val="32"/>
          <w:szCs w:val="32"/>
          <w:lang w:val="en-US" w:eastAsia="zh-CN" w:bidi="ar-SA"/>
        </w:rPr>
        <w:t>，</w:t>
      </w:r>
      <w:r>
        <w:rPr>
          <w:rFonts w:hint="default" w:ascii="方正仿宋_GB2312" w:hAnsi="方正仿宋_GB2312" w:eastAsia="方正仿宋_GB2312" w:cs="方正仿宋_GB2312"/>
          <w:kern w:val="2"/>
          <w:sz w:val="32"/>
          <w:szCs w:val="32"/>
          <w:lang w:val="en-US" w:eastAsia="zh-CN" w:bidi="ar-SA"/>
        </w:rPr>
        <w:t>榜单同样呈现出跨部门的广泛参与。教学单位（如材料工程、建筑工程、机电工程、人工智能学院）的教师持续引领专业阅读与学术探索，而后勤保障处、体育部、招生就业处等教辅与行政部门的多位教职工同样跻身前列，充分体现了“书香校园”建设已深入全校各个工作领域，阅读成为提升综合素养的共同选择。</w:t>
      </w:r>
    </w:p>
    <w:p w14:paraId="4927E841">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rPr>
          <w:rFonts w:hint="default"/>
          <w:sz w:val="28"/>
          <w:szCs w:val="28"/>
          <w:lang w:val="en-US" w:eastAsia="zh-CN"/>
        </w:rPr>
      </w:pPr>
      <w:r>
        <w:rPr>
          <w:rFonts w:hint="eastAsia"/>
          <w:sz w:val="28"/>
          <w:szCs w:val="28"/>
          <w:lang w:val="en-US" w:eastAsia="zh-CN"/>
        </w:rPr>
        <w:t>表5 2025年图书借阅排行榜</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4316"/>
        <w:gridCol w:w="2840"/>
      </w:tblGrid>
      <w:tr w14:paraId="05E9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single" w:color="4874CB" w:sz="12" w:space="0"/>
              <w:left w:val="nil"/>
              <w:bottom w:val="single" w:color="4874CB" w:sz="4" w:space="0"/>
              <w:right w:val="nil"/>
              <w:tl2br w:val="nil"/>
            </w:tcBorders>
            <w:shd w:val="clear" w:color="auto" w:fill="91ACE0"/>
            <w:noWrap w:val="0"/>
            <w:vAlign w:val="top"/>
          </w:tcPr>
          <w:p w14:paraId="5F9DF444">
            <w:pPr>
              <w:rPr>
                <w:rFonts w:hint="default"/>
                <w:b/>
                <w:color w:val="000000"/>
                <w:vertAlign w:val="baseline"/>
                <w:lang w:val="en-US" w:eastAsia="zh-CN"/>
              </w:rPr>
            </w:pPr>
            <w:r>
              <w:rPr>
                <w:rFonts w:hint="eastAsia"/>
                <w:b/>
                <w:color w:val="000000"/>
                <w:vertAlign w:val="baseline"/>
                <w:lang w:val="en-US" w:eastAsia="zh-CN"/>
              </w:rPr>
              <w:t>序号</w:t>
            </w:r>
          </w:p>
        </w:tc>
        <w:tc>
          <w:tcPr>
            <w:tcW w:w="4316" w:type="dxa"/>
            <w:tcBorders>
              <w:top w:val="single" w:color="4874CB" w:sz="12" w:space="0"/>
              <w:left w:val="nil"/>
              <w:bottom w:val="single" w:color="4874CB" w:sz="4" w:space="0"/>
              <w:right w:val="nil"/>
            </w:tcBorders>
            <w:shd w:val="clear" w:color="auto" w:fill="91ACE0"/>
            <w:noWrap w:val="0"/>
            <w:vAlign w:val="top"/>
          </w:tcPr>
          <w:p w14:paraId="28913179">
            <w:pPr>
              <w:rPr>
                <w:rFonts w:hint="default"/>
                <w:b/>
                <w:color w:val="000000"/>
                <w:vertAlign w:val="baseline"/>
                <w:lang w:val="en-US" w:eastAsia="zh-CN"/>
              </w:rPr>
            </w:pPr>
            <w:r>
              <w:rPr>
                <w:rFonts w:hint="eastAsia"/>
                <w:b/>
                <w:color w:val="000000"/>
                <w:vertAlign w:val="baseline"/>
                <w:lang w:val="en-US" w:eastAsia="zh-CN"/>
              </w:rPr>
              <w:t>图书名称</w:t>
            </w:r>
          </w:p>
        </w:tc>
        <w:tc>
          <w:tcPr>
            <w:tcW w:w="2840" w:type="dxa"/>
            <w:tcBorders>
              <w:top w:val="single" w:color="4874CB" w:sz="12" w:space="0"/>
              <w:left w:val="nil"/>
              <w:bottom w:val="single" w:color="4874CB" w:sz="4" w:space="0"/>
              <w:right w:val="nil"/>
            </w:tcBorders>
            <w:shd w:val="clear" w:color="auto" w:fill="91ACE0"/>
            <w:noWrap w:val="0"/>
            <w:vAlign w:val="top"/>
          </w:tcPr>
          <w:p w14:paraId="13002A46">
            <w:pPr>
              <w:rPr>
                <w:rFonts w:hint="default"/>
                <w:b/>
                <w:color w:val="000000"/>
                <w:vertAlign w:val="baseline"/>
                <w:lang w:val="en-US" w:eastAsia="zh-CN"/>
              </w:rPr>
            </w:pPr>
            <w:r>
              <w:rPr>
                <w:rFonts w:hint="eastAsia"/>
                <w:b/>
                <w:color w:val="000000"/>
                <w:vertAlign w:val="baseline"/>
                <w:lang w:val="en-US" w:eastAsia="zh-CN"/>
              </w:rPr>
              <w:t>借阅次数</w:t>
            </w:r>
          </w:p>
        </w:tc>
      </w:tr>
      <w:tr w14:paraId="3E17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single" w:color="4874CB" w:sz="4" w:space="0"/>
              <w:left w:val="nil"/>
              <w:bottom w:val="nil"/>
              <w:right w:val="nil"/>
            </w:tcBorders>
            <w:shd w:val="clear" w:color="auto" w:fill="FFFFFF"/>
            <w:noWrap w:val="0"/>
            <w:vAlign w:val="top"/>
          </w:tcPr>
          <w:p w14:paraId="25B468CF">
            <w:pPr>
              <w:rPr>
                <w:rFonts w:hint="default" w:ascii="宋体" w:hAnsi="宋体" w:eastAsia="宋体" w:cs="宋体"/>
                <w:b w:val="0"/>
                <w:i w:val="0"/>
                <w:iCs w:val="0"/>
                <w:color w:val="000000"/>
                <w:kern w:val="0"/>
                <w:sz w:val="22"/>
                <w:szCs w:val="22"/>
                <w:highlight w:val="none"/>
                <w:u w:val="none"/>
                <w:lang w:val="en-US" w:eastAsia="zh-CN" w:bidi="ar"/>
              </w:rPr>
            </w:pPr>
            <w:r>
              <w:rPr>
                <w:rFonts w:hint="eastAsia" w:ascii="宋体" w:hAnsi="宋体" w:eastAsia="宋体" w:cs="宋体"/>
                <w:b w:val="0"/>
                <w:i w:val="0"/>
                <w:iCs w:val="0"/>
                <w:color w:val="000000"/>
                <w:kern w:val="0"/>
                <w:sz w:val="22"/>
                <w:szCs w:val="22"/>
                <w:highlight w:val="none"/>
                <w:u w:val="none"/>
                <w:lang w:val="en-US" w:eastAsia="zh-CN" w:bidi="ar"/>
              </w:rPr>
              <w:t>1</w:t>
            </w:r>
          </w:p>
        </w:tc>
        <w:tc>
          <w:tcPr>
            <w:tcW w:w="4316" w:type="dxa"/>
            <w:tcBorders>
              <w:top w:val="single" w:color="4874CB" w:sz="4" w:space="0"/>
              <w:left w:val="nil"/>
              <w:bottom w:val="nil"/>
              <w:right w:val="nil"/>
            </w:tcBorders>
            <w:shd w:val="clear" w:color="auto" w:fill="FFFFFF"/>
            <w:noWrap w:val="0"/>
            <w:vAlign w:val="top"/>
          </w:tcPr>
          <w:p w14:paraId="52F698C8">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highlight w:val="none"/>
                <w:u w:val="none"/>
                <w:lang w:val="en-US" w:eastAsia="zh-CN" w:bidi="ar"/>
              </w:rPr>
              <w:t>《平凡的世界》（三部）</w:t>
            </w:r>
          </w:p>
        </w:tc>
        <w:tc>
          <w:tcPr>
            <w:tcW w:w="2840" w:type="dxa"/>
            <w:tcBorders>
              <w:top w:val="single" w:color="4874CB" w:sz="4" w:space="0"/>
              <w:left w:val="nil"/>
              <w:bottom w:val="nil"/>
              <w:right w:val="nil"/>
            </w:tcBorders>
            <w:shd w:val="clear" w:color="auto" w:fill="FFFFFF"/>
            <w:noWrap w:val="0"/>
            <w:vAlign w:val="top"/>
          </w:tcPr>
          <w:p w14:paraId="1784A435">
            <w:pPr>
              <w:rPr>
                <w:rFonts w:hint="default"/>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509</w:t>
            </w:r>
          </w:p>
        </w:tc>
      </w:tr>
      <w:tr w14:paraId="420E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nil"/>
              <w:left w:val="nil"/>
              <w:bottom w:val="nil"/>
              <w:right w:val="nil"/>
            </w:tcBorders>
            <w:shd w:val="clear" w:color="auto" w:fill="FFFFFF"/>
            <w:noWrap w:val="0"/>
            <w:vAlign w:val="top"/>
          </w:tcPr>
          <w:p w14:paraId="4A2D153E">
            <w:pPr>
              <w:rPr>
                <w:rFonts w:hint="default" w:ascii="宋体" w:hAnsi="宋体" w:eastAsia="宋体" w:cs="宋体"/>
                <w:b w:val="0"/>
                <w:i w:val="0"/>
                <w:iCs w:val="0"/>
                <w:color w:val="000000"/>
                <w:kern w:val="0"/>
                <w:sz w:val="22"/>
                <w:szCs w:val="22"/>
                <w:highlight w:val="none"/>
                <w:u w:val="none"/>
                <w:lang w:val="en-US" w:eastAsia="zh-CN" w:bidi="ar"/>
              </w:rPr>
            </w:pPr>
            <w:r>
              <w:rPr>
                <w:rFonts w:hint="eastAsia" w:ascii="宋体" w:hAnsi="宋体" w:eastAsia="宋体" w:cs="宋体"/>
                <w:b w:val="0"/>
                <w:i w:val="0"/>
                <w:iCs w:val="0"/>
                <w:color w:val="000000"/>
                <w:kern w:val="0"/>
                <w:sz w:val="22"/>
                <w:szCs w:val="22"/>
                <w:highlight w:val="none"/>
                <w:u w:val="none"/>
                <w:lang w:val="en-US" w:eastAsia="zh-CN" w:bidi="ar"/>
              </w:rPr>
              <w:t>2</w:t>
            </w:r>
          </w:p>
        </w:tc>
        <w:tc>
          <w:tcPr>
            <w:tcW w:w="4316" w:type="dxa"/>
            <w:tcBorders>
              <w:top w:val="nil"/>
              <w:left w:val="nil"/>
              <w:bottom w:val="nil"/>
              <w:right w:val="nil"/>
            </w:tcBorders>
            <w:shd w:val="clear" w:color="auto" w:fill="FFFFFF"/>
            <w:noWrap w:val="0"/>
            <w:vAlign w:val="top"/>
          </w:tcPr>
          <w:p w14:paraId="7A0F6A7F">
            <w:pPr>
              <w:rPr>
                <w:rFonts w:hint="eastAsia" w:ascii="宋体" w:hAnsi="宋体" w:eastAsia="宋体" w:cs="宋体"/>
                <w:b w:val="0"/>
                <w:i w:val="0"/>
                <w:iCs w:val="0"/>
                <w:color w:val="000000"/>
                <w:kern w:val="0"/>
                <w:sz w:val="22"/>
                <w:szCs w:val="22"/>
                <w:highlight w:val="none"/>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《活着》</w:t>
            </w:r>
          </w:p>
        </w:tc>
        <w:tc>
          <w:tcPr>
            <w:tcW w:w="2840" w:type="dxa"/>
            <w:tcBorders>
              <w:top w:val="nil"/>
              <w:left w:val="nil"/>
              <w:bottom w:val="nil"/>
              <w:right w:val="nil"/>
            </w:tcBorders>
            <w:shd w:val="clear" w:color="auto" w:fill="FFFFFF"/>
            <w:noWrap w:val="0"/>
            <w:vAlign w:val="top"/>
          </w:tcPr>
          <w:p w14:paraId="0D37FD02">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239</w:t>
            </w:r>
          </w:p>
        </w:tc>
      </w:tr>
      <w:tr w14:paraId="6E03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nil"/>
              <w:left w:val="nil"/>
              <w:bottom w:val="nil"/>
              <w:right w:val="nil"/>
            </w:tcBorders>
            <w:shd w:val="clear" w:color="auto" w:fill="FFFFFF"/>
            <w:noWrap w:val="0"/>
            <w:vAlign w:val="top"/>
          </w:tcPr>
          <w:p w14:paraId="692593FE">
            <w:pPr>
              <w:rPr>
                <w:rFonts w:hint="eastAsia" w:ascii="宋体" w:hAnsi="宋体" w:eastAsia="宋体" w:cs="宋体"/>
                <w:b w:val="0"/>
                <w:i w:val="0"/>
                <w:iCs w:val="0"/>
                <w:color w:val="000000"/>
                <w:kern w:val="0"/>
                <w:sz w:val="22"/>
                <w:szCs w:val="22"/>
                <w:highlight w:val="none"/>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3</w:t>
            </w:r>
          </w:p>
        </w:tc>
        <w:tc>
          <w:tcPr>
            <w:tcW w:w="4316" w:type="dxa"/>
            <w:tcBorders>
              <w:top w:val="nil"/>
              <w:left w:val="nil"/>
              <w:bottom w:val="nil"/>
              <w:right w:val="nil"/>
            </w:tcBorders>
            <w:shd w:val="clear" w:color="auto" w:fill="FFFFFF"/>
            <w:noWrap w:val="0"/>
            <w:vAlign w:val="top"/>
          </w:tcPr>
          <w:p w14:paraId="3FAE1545">
            <w:pP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《人世间》（</w:t>
            </w:r>
            <w:r>
              <w:rPr>
                <w:rFonts w:hint="eastAsia" w:ascii="宋体" w:hAnsi="宋体" w:eastAsia="宋体" w:cs="宋体"/>
                <w:b w:val="0"/>
                <w:i w:val="0"/>
                <w:iCs w:val="0"/>
                <w:color w:val="000000"/>
                <w:kern w:val="0"/>
                <w:sz w:val="22"/>
                <w:szCs w:val="22"/>
                <w:highlight w:val="none"/>
                <w:u w:val="none"/>
                <w:lang w:val="en-US" w:eastAsia="zh-CN" w:bidi="ar"/>
              </w:rPr>
              <w:t>三部）</w:t>
            </w:r>
          </w:p>
        </w:tc>
        <w:tc>
          <w:tcPr>
            <w:tcW w:w="2840" w:type="dxa"/>
            <w:tcBorders>
              <w:top w:val="nil"/>
              <w:left w:val="nil"/>
              <w:bottom w:val="nil"/>
              <w:right w:val="nil"/>
            </w:tcBorders>
            <w:shd w:val="clear" w:color="auto" w:fill="FFFFFF"/>
            <w:noWrap w:val="0"/>
            <w:vAlign w:val="top"/>
          </w:tcPr>
          <w:p w14:paraId="29EF81FB">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228</w:t>
            </w:r>
          </w:p>
        </w:tc>
      </w:tr>
      <w:tr w14:paraId="02A9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nil"/>
              <w:left w:val="nil"/>
              <w:bottom w:val="nil"/>
              <w:right w:val="nil"/>
            </w:tcBorders>
            <w:shd w:val="clear" w:color="auto" w:fill="FFFFFF"/>
            <w:noWrap w:val="0"/>
            <w:vAlign w:val="top"/>
          </w:tcPr>
          <w:p w14:paraId="71273B5F">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4</w:t>
            </w:r>
          </w:p>
        </w:tc>
        <w:tc>
          <w:tcPr>
            <w:tcW w:w="4316" w:type="dxa"/>
            <w:tcBorders>
              <w:top w:val="nil"/>
              <w:left w:val="nil"/>
              <w:bottom w:val="nil"/>
              <w:right w:val="nil"/>
            </w:tcBorders>
            <w:shd w:val="clear" w:color="auto" w:fill="FFFFFF"/>
            <w:noWrap w:val="0"/>
            <w:vAlign w:val="top"/>
          </w:tcPr>
          <w:p w14:paraId="688F9E2C">
            <w:pPr>
              <w:rPr>
                <w:rFonts w:hint="eastAsia"/>
                <w:b w:val="0"/>
                <w:color w:val="000000"/>
                <w:highlight w:val="yellow"/>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《云边有个小卖部》</w:t>
            </w:r>
          </w:p>
        </w:tc>
        <w:tc>
          <w:tcPr>
            <w:tcW w:w="2840" w:type="dxa"/>
            <w:tcBorders>
              <w:top w:val="nil"/>
              <w:left w:val="nil"/>
              <w:bottom w:val="nil"/>
              <w:right w:val="nil"/>
            </w:tcBorders>
            <w:shd w:val="clear" w:color="auto" w:fill="FFFFFF"/>
            <w:noWrap w:val="0"/>
            <w:vAlign w:val="top"/>
          </w:tcPr>
          <w:p w14:paraId="7F7FB567">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179</w:t>
            </w:r>
          </w:p>
        </w:tc>
      </w:tr>
      <w:tr w14:paraId="7F69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364" w:type="dxa"/>
            <w:tcBorders>
              <w:top w:val="nil"/>
              <w:left w:val="nil"/>
              <w:bottom w:val="nil"/>
              <w:right w:val="nil"/>
            </w:tcBorders>
            <w:shd w:val="clear" w:color="auto" w:fill="FFFFFF"/>
            <w:noWrap w:val="0"/>
            <w:vAlign w:val="top"/>
          </w:tcPr>
          <w:p w14:paraId="423F7249">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5</w:t>
            </w:r>
          </w:p>
        </w:tc>
        <w:tc>
          <w:tcPr>
            <w:tcW w:w="4316" w:type="dxa"/>
            <w:tcBorders>
              <w:top w:val="nil"/>
              <w:left w:val="nil"/>
              <w:bottom w:val="nil"/>
              <w:right w:val="nil"/>
            </w:tcBorders>
            <w:shd w:val="clear" w:color="auto" w:fill="FFFFFF"/>
            <w:noWrap w:val="0"/>
            <w:vAlign w:val="top"/>
          </w:tcPr>
          <w:p w14:paraId="0E13D014">
            <w:pPr>
              <w:rPr>
                <w:rFonts w:hint="eastAsia"/>
                <w:b w:val="0"/>
                <w:color w:val="000000"/>
                <w:highlight w:val="yellow"/>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《第七天》</w:t>
            </w:r>
          </w:p>
        </w:tc>
        <w:tc>
          <w:tcPr>
            <w:tcW w:w="2840" w:type="dxa"/>
            <w:tcBorders>
              <w:top w:val="nil"/>
              <w:left w:val="nil"/>
              <w:bottom w:val="nil"/>
              <w:right w:val="nil"/>
            </w:tcBorders>
            <w:shd w:val="clear" w:color="auto" w:fill="FFFFFF"/>
            <w:noWrap w:val="0"/>
            <w:vAlign w:val="top"/>
          </w:tcPr>
          <w:p w14:paraId="10AE2D6A">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128</w:t>
            </w:r>
          </w:p>
        </w:tc>
      </w:tr>
      <w:tr w14:paraId="4F03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nil"/>
              <w:left w:val="nil"/>
              <w:bottom w:val="nil"/>
              <w:right w:val="nil"/>
            </w:tcBorders>
            <w:shd w:val="clear" w:color="auto" w:fill="FFFFFF"/>
            <w:noWrap w:val="0"/>
            <w:vAlign w:val="top"/>
          </w:tcPr>
          <w:p w14:paraId="0D4C66E9">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6</w:t>
            </w:r>
          </w:p>
        </w:tc>
        <w:tc>
          <w:tcPr>
            <w:tcW w:w="4316" w:type="dxa"/>
            <w:tcBorders>
              <w:top w:val="nil"/>
              <w:left w:val="nil"/>
              <w:bottom w:val="nil"/>
              <w:right w:val="nil"/>
            </w:tcBorders>
            <w:shd w:val="clear" w:color="auto" w:fill="FFFFFF"/>
            <w:noWrap w:val="0"/>
            <w:vAlign w:val="top"/>
          </w:tcPr>
          <w:p w14:paraId="77E4C176">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《橘子汽水》</w:t>
            </w:r>
          </w:p>
        </w:tc>
        <w:tc>
          <w:tcPr>
            <w:tcW w:w="2840" w:type="dxa"/>
            <w:tcBorders>
              <w:top w:val="nil"/>
              <w:left w:val="nil"/>
              <w:bottom w:val="nil"/>
              <w:right w:val="nil"/>
            </w:tcBorders>
            <w:shd w:val="clear" w:color="auto" w:fill="FFFFFF"/>
            <w:noWrap w:val="0"/>
            <w:vAlign w:val="top"/>
          </w:tcPr>
          <w:p w14:paraId="3486B503">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122</w:t>
            </w:r>
          </w:p>
        </w:tc>
      </w:tr>
      <w:tr w14:paraId="303F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nil"/>
              <w:left w:val="nil"/>
              <w:bottom w:val="nil"/>
              <w:right w:val="nil"/>
            </w:tcBorders>
            <w:shd w:val="clear" w:color="auto" w:fill="FFFFFF"/>
            <w:noWrap w:val="0"/>
            <w:vAlign w:val="top"/>
          </w:tcPr>
          <w:p w14:paraId="565F350C">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7</w:t>
            </w:r>
          </w:p>
        </w:tc>
        <w:tc>
          <w:tcPr>
            <w:tcW w:w="4316" w:type="dxa"/>
            <w:tcBorders>
              <w:top w:val="nil"/>
              <w:left w:val="nil"/>
              <w:bottom w:val="nil"/>
              <w:right w:val="nil"/>
            </w:tcBorders>
            <w:shd w:val="clear" w:color="auto" w:fill="FFFFFF"/>
            <w:noWrap w:val="0"/>
            <w:vAlign w:val="top"/>
          </w:tcPr>
          <w:p w14:paraId="184CF005">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《兄弟》</w:t>
            </w:r>
          </w:p>
        </w:tc>
        <w:tc>
          <w:tcPr>
            <w:tcW w:w="2840" w:type="dxa"/>
            <w:tcBorders>
              <w:top w:val="nil"/>
              <w:left w:val="nil"/>
              <w:bottom w:val="nil"/>
              <w:right w:val="nil"/>
            </w:tcBorders>
            <w:shd w:val="clear" w:color="auto" w:fill="FFFFFF"/>
            <w:noWrap w:val="0"/>
            <w:vAlign w:val="top"/>
          </w:tcPr>
          <w:p w14:paraId="13AD1E6C">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107</w:t>
            </w:r>
          </w:p>
        </w:tc>
      </w:tr>
      <w:tr w14:paraId="3582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nil"/>
              <w:left w:val="nil"/>
              <w:bottom w:val="nil"/>
              <w:right w:val="nil"/>
            </w:tcBorders>
            <w:shd w:val="clear" w:color="auto" w:fill="FFFFFF"/>
            <w:noWrap w:val="0"/>
            <w:vAlign w:val="top"/>
          </w:tcPr>
          <w:p w14:paraId="16BBCCD7">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8</w:t>
            </w:r>
          </w:p>
        </w:tc>
        <w:tc>
          <w:tcPr>
            <w:tcW w:w="4316" w:type="dxa"/>
            <w:tcBorders>
              <w:top w:val="nil"/>
              <w:left w:val="nil"/>
              <w:bottom w:val="nil"/>
              <w:right w:val="nil"/>
            </w:tcBorders>
            <w:shd w:val="clear" w:color="auto" w:fill="FFFFFF"/>
            <w:noWrap w:val="0"/>
            <w:vAlign w:val="top"/>
          </w:tcPr>
          <w:p w14:paraId="14C44C23">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《这就是大中华美食》</w:t>
            </w:r>
          </w:p>
        </w:tc>
        <w:tc>
          <w:tcPr>
            <w:tcW w:w="2840" w:type="dxa"/>
            <w:tcBorders>
              <w:top w:val="nil"/>
              <w:left w:val="nil"/>
              <w:bottom w:val="nil"/>
              <w:right w:val="nil"/>
            </w:tcBorders>
            <w:shd w:val="clear" w:color="auto" w:fill="FFFFFF"/>
            <w:noWrap w:val="0"/>
            <w:vAlign w:val="top"/>
          </w:tcPr>
          <w:p w14:paraId="371D48D3">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103</w:t>
            </w:r>
          </w:p>
        </w:tc>
      </w:tr>
      <w:tr w14:paraId="77D8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nil"/>
              <w:left w:val="nil"/>
              <w:bottom w:val="nil"/>
              <w:right w:val="nil"/>
            </w:tcBorders>
            <w:shd w:val="clear" w:color="auto" w:fill="FFFFFF"/>
            <w:noWrap w:val="0"/>
            <w:vAlign w:val="top"/>
          </w:tcPr>
          <w:p w14:paraId="09C11857">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9</w:t>
            </w:r>
          </w:p>
        </w:tc>
        <w:tc>
          <w:tcPr>
            <w:tcW w:w="4316" w:type="dxa"/>
            <w:tcBorders>
              <w:top w:val="nil"/>
              <w:left w:val="nil"/>
              <w:bottom w:val="nil"/>
              <w:right w:val="nil"/>
            </w:tcBorders>
            <w:shd w:val="clear" w:color="auto" w:fill="FFFFFF"/>
            <w:noWrap w:val="0"/>
            <w:vAlign w:val="top"/>
          </w:tcPr>
          <w:p w14:paraId="7D53DB17">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《洄天》</w:t>
            </w:r>
          </w:p>
        </w:tc>
        <w:tc>
          <w:tcPr>
            <w:tcW w:w="2840" w:type="dxa"/>
            <w:tcBorders>
              <w:top w:val="nil"/>
              <w:left w:val="nil"/>
              <w:bottom w:val="nil"/>
              <w:right w:val="nil"/>
            </w:tcBorders>
            <w:shd w:val="clear" w:color="auto" w:fill="FFFFFF"/>
            <w:noWrap w:val="0"/>
            <w:vAlign w:val="top"/>
          </w:tcPr>
          <w:p w14:paraId="0EFE751A">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101</w:t>
            </w:r>
          </w:p>
        </w:tc>
      </w:tr>
      <w:tr w14:paraId="2E5C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Borders>
              <w:top w:val="nil"/>
              <w:left w:val="nil"/>
              <w:bottom w:val="single" w:color="4874CB" w:sz="12" w:space="0"/>
              <w:right w:val="nil"/>
            </w:tcBorders>
            <w:shd w:val="clear" w:color="auto" w:fill="FFFFFF"/>
            <w:noWrap w:val="0"/>
            <w:vAlign w:val="top"/>
          </w:tcPr>
          <w:p w14:paraId="7A123142">
            <w:pP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10</w:t>
            </w:r>
          </w:p>
        </w:tc>
        <w:tc>
          <w:tcPr>
            <w:tcW w:w="4316" w:type="dxa"/>
            <w:tcBorders>
              <w:top w:val="nil"/>
              <w:left w:val="nil"/>
              <w:bottom w:val="single" w:color="4874CB" w:sz="12" w:space="0"/>
              <w:right w:val="nil"/>
            </w:tcBorders>
            <w:shd w:val="clear" w:color="auto" w:fill="FFFFFF"/>
            <w:noWrap w:val="0"/>
            <w:vAlign w:val="center"/>
          </w:tcPr>
          <w:p w14:paraId="569CF050">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《北上》</w:t>
            </w:r>
          </w:p>
        </w:tc>
        <w:tc>
          <w:tcPr>
            <w:tcW w:w="2840" w:type="dxa"/>
            <w:tcBorders>
              <w:top w:val="nil"/>
              <w:left w:val="nil"/>
              <w:bottom w:val="single" w:color="4874CB" w:sz="12" w:space="0"/>
              <w:right w:val="nil"/>
            </w:tcBorders>
            <w:shd w:val="clear" w:color="auto" w:fill="FFFFFF"/>
            <w:noWrap w:val="0"/>
            <w:vAlign w:val="top"/>
          </w:tcPr>
          <w:p w14:paraId="3307532B">
            <w:pPr>
              <w:rPr>
                <w:rFonts w:hint="eastAsia"/>
                <w:b w:val="0"/>
                <w:color w:val="000000"/>
                <w:vertAlign w:val="baseline"/>
                <w:lang w:val="en-US" w:eastAsia="zh-CN"/>
              </w:rPr>
            </w:pPr>
            <w:r>
              <w:rPr>
                <w:rFonts w:hint="eastAsia" w:ascii="宋体" w:hAnsi="宋体" w:eastAsia="宋体" w:cs="宋体"/>
                <w:b w:val="0"/>
                <w:i w:val="0"/>
                <w:iCs w:val="0"/>
                <w:color w:val="000000"/>
                <w:kern w:val="0"/>
                <w:sz w:val="22"/>
                <w:szCs w:val="22"/>
                <w:u w:val="none"/>
                <w:lang w:val="en-US" w:eastAsia="zh-CN" w:bidi="ar"/>
              </w:rPr>
              <w:t>97</w:t>
            </w:r>
          </w:p>
        </w:tc>
      </w:tr>
    </w:tbl>
    <w:p w14:paraId="34B5193D">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ascii="方正仿宋_GB2312" w:hAnsi="方正仿宋_GB2312" w:eastAsia="方正仿宋_GB2312" w:cs="方正仿宋_GB2312"/>
          <w:kern w:val="2"/>
          <w:sz w:val="32"/>
          <w:szCs w:val="32"/>
          <w:lang w:val="en-US" w:eastAsia="zh-CN" w:bidi="ar-SA"/>
        </w:rPr>
      </w:pPr>
      <w:r>
        <w:rPr>
          <w:rFonts w:hint="eastAsia" w:cs="方正仿宋_GB2312"/>
          <w:kern w:val="2"/>
          <w:sz w:val="32"/>
          <w:szCs w:val="32"/>
          <w:lang w:val="en-US" w:eastAsia="zh-CN" w:bidi="ar-SA"/>
        </w:rPr>
        <w:t>从图书借阅排行榜中可以看出，</w:t>
      </w:r>
      <w:r>
        <w:rPr>
          <w:rFonts w:hint="default" w:ascii="方正仿宋_GB2312" w:hAnsi="方正仿宋_GB2312" w:eastAsia="方正仿宋_GB2312" w:cs="方正仿宋_GB2312"/>
          <w:kern w:val="2"/>
          <w:sz w:val="32"/>
          <w:szCs w:val="32"/>
          <w:lang w:val="en-US" w:eastAsia="zh-CN" w:bidi="ar-SA"/>
        </w:rPr>
        <w:t>年度最受欢迎的图书为文学类作品。这一结果与本报告第三部分（资源建设与发展）中所揭示的</w:t>
      </w:r>
      <w:r>
        <w:rPr>
          <w:rFonts w:hint="eastAsia" w:cs="方正仿宋_GB2312"/>
          <w:kern w:val="2"/>
          <w:sz w:val="32"/>
          <w:szCs w:val="32"/>
          <w:lang w:val="en-US" w:eastAsia="zh-CN" w:bidi="ar-SA"/>
        </w:rPr>
        <w:t>“</w:t>
      </w:r>
      <w:r>
        <w:rPr>
          <w:rFonts w:hint="default" w:ascii="方正仿宋_GB2312" w:hAnsi="方正仿宋_GB2312" w:eastAsia="方正仿宋_GB2312" w:cs="方正仿宋_GB2312"/>
          <w:kern w:val="2"/>
          <w:sz w:val="32"/>
          <w:szCs w:val="32"/>
          <w:lang w:val="en-US" w:eastAsia="zh-CN" w:bidi="ar-SA"/>
        </w:rPr>
        <w:t>文学类图书是2025年度纸质资源采购量最大的类别</w:t>
      </w:r>
      <w:r>
        <w:rPr>
          <w:rFonts w:hint="eastAsia" w:cs="方正仿宋_GB2312"/>
          <w:kern w:val="2"/>
          <w:sz w:val="32"/>
          <w:szCs w:val="32"/>
          <w:lang w:val="en-US" w:eastAsia="zh-CN" w:bidi="ar-SA"/>
        </w:rPr>
        <w:t>”</w:t>
      </w:r>
      <w:r>
        <w:rPr>
          <w:rFonts w:hint="default" w:ascii="方正仿宋_GB2312" w:hAnsi="方正仿宋_GB2312" w:eastAsia="方正仿宋_GB2312" w:cs="方正仿宋_GB2312"/>
          <w:kern w:val="2"/>
          <w:sz w:val="32"/>
          <w:szCs w:val="32"/>
          <w:lang w:val="en-US" w:eastAsia="zh-CN" w:bidi="ar-SA"/>
        </w:rPr>
        <w:t>形成了数据闭环与策略验证。榜单中，《平凡的世界》、《活着》、《人世间》等经典文学作品高居榜首并借阅量大，《云边有个小卖部》等当代作品也备受青睐。这清晰地表明，图书馆在资源建设中“优先保障文学类热门读物”的策略精准契合了最主流的阅读偏好。</w:t>
      </w:r>
      <w:r>
        <w:rPr>
          <w:rFonts w:hint="eastAsia" w:cs="方正仿宋_GB2312"/>
          <w:kern w:val="2"/>
          <w:sz w:val="32"/>
          <w:szCs w:val="32"/>
          <w:lang w:val="en-US" w:eastAsia="zh-CN" w:bidi="ar-SA"/>
        </w:rPr>
        <w:t>同时，</w:t>
      </w:r>
      <w:r>
        <w:rPr>
          <w:rFonts w:hint="default" w:ascii="方正仿宋_GB2312" w:hAnsi="方正仿宋_GB2312" w:eastAsia="方正仿宋_GB2312" w:cs="方正仿宋_GB2312"/>
          <w:kern w:val="2"/>
          <w:sz w:val="32"/>
          <w:szCs w:val="32"/>
          <w:lang w:val="en-US" w:eastAsia="zh-CN" w:bidi="ar-SA"/>
        </w:rPr>
        <w:t>在欣然看到文学</w:t>
      </w:r>
      <w:r>
        <w:rPr>
          <w:rFonts w:hint="eastAsia" w:cs="方正仿宋_GB2312"/>
          <w:kern w:val="2"/>
          <w:sz w:val="32"/>
          <w:szCs w:val="32"/>
          <w:lang w:val="en-US" w:eastAsia="zh-CN" w:bidi="ar-SA"/>
        </w:rPr>
        <w:t>类</w:t>
      </w:r>
      <w:r>
        <w:rPr>
          <w:rFonts w:hint="default" w:ascii="方正仿宋_GB2312" w:hAnsi="方正仿宋_GB2312" w:eastAsia="方正仿宋_GB2312" w:cs="方正仿宋_GB2312"/>
          <w:kern w:val="2"/>
          <w:sz w:val="32"/>
          <w:szCs w:val="32"/>
          <w:lang w:val="en-US" w:eastAsia="zh-CN" w:bidi="ar-SA"/>
        </w:rPr>
        <w:t>阅读蓬勃发展的同时，这也启发我们思考如何进一步履行知识引导者的职责。未来，图书馆将在持续满足读者显性需求的基础上，主动通过策划主题书展、开展深度阅读导读等活动，将更多馆藏中优质的专业类、科普类、艺术类等多元知识资源，以更生动的方式推介给读者</w:t>
      </w:r>
      <w:r>
        <w:rPr>
          <w:rFonts w:hint="eastAsia" w:cs="方正仿宋_GB2312"/>
          <w:kern w:val="2"/>
          <w:sz w:val="32"/>
          <w:szCs w:val="32"/>
          <w:lang w:val="en-US" w:eastAsia="zh-CN" w:bidi="ar-SA"/>
        </w:rPr>
        <w:t>，</w:t>
      </w:r>
      <w:r>
        <w:rPr>
          <w:rFonts w:hint="default" w:ascii="方正仿宋_GB2312" w:hAnsi="方正仿宋_GB2312" w:eastAsia="方正仿宋_GB2312" w:cs="方正仿宋_GB2312"/>
          <w:kern w:val="2"/>
          <w:sz w:val="32"/>
          <w:szCs w:val="32"/>
          <w:lang w:val="en-US" w:eastAsia="zh-CN" w:bidi="ar-SA"/>
        </w:rPr>
        <w:t>进一步盘活全馆资源，实现从“热点阅读”到“深度、广度阅读”的良性生态构建。</w:t>
      </w:r>
    </w:p>
    <w:p w14:paraId="1B586C3E">
      <w:pPr>
        <w:pStyle w:val="4"/>
        <w:bidi w:val="0"/>
        <w:ind w:firstLine="640" w:firstLineChars="200"/>
        <w:rPr>
          <w:rFonts w:hint="default"/>
        </w:rPr>
      </w:pPr>
      <w:bookmarkStart w:id="8" w:name="_Toc25366"/>
      <w:r>
        <w:rPr>
          <w:rFonts w:hint="default"/>
        </w:rPr>
        <w:t>（三） 数字资源利用：学科偏好与访问规律</w:t>
      </w:r>
      <w:bookmarkEnd w:id="8"/>
    </w:p>
    <w:p w14:paraId="5FDDC155">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3" w:firstLineChars="200"/>
        <w:textAlignment w:val="auto"/>
        <w:rPr>
          <w:rFonts w:hint="eastAsia" w:ascii="方正仿宋_GB2312" w:hAnsi="方正仿宋_GB2312" w:eastAsia="方正仿宋_GB2312" w:cs="方正仿宋_GB2312"/>
          <w:b/>
          <w:bCs/>
          <w:kern w:val="2"/>
          <w:sz w:val="32"/>
          <w:szCs w:val="32"/>
          <w:lang w:val="en-US" w:eastAsia="zh-CN" w:bidi="ar-SA"/>
        </w:rPr>
      </w:pPr>
      <w:r>
        <w:rPr>
          <w:rFonts w:hint="default" w:ascii="方正仿宋_GB2312" w:hAnsi="方正仿宋_GB2312" w:eastAsia="方正仿宋_GB2312" w:cs="方正仿宋_GB2312"/>
          <w:b/>
          <w:bCs/>
          <w:kern w:val="2"/>
          <w:sz w:val="32"/>
          <w:szCs w:val="32"/>
          <w:lang w:val="en-US" w:eastAsia="zh-CN" w:bidi="ar-SA"/>
        </w:rPr>
        <w:t>1. 电子书阅读潮流：场景驱动与互补生态</w:t>
      </w:r>
    </w:p>
    <w:p w14:paraId="0F053CD3">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eastAsia" w:cs="方正仿宋_GB2312"/>
          <w:kern w:val="2"/>
          <w:sz w:val="32"/>
          <w:szCs w:val="32"/>
          <w:lang w:val="en-US" w:eastAsia="zh-CN" w:bidi="ar-SA"/>
        </w:rPr>
      </w:pPr>
      <w:r>
        <w:rPr>
          <w:rFonts w:hint="default" w:cs="方正仿宋_GB2312"/>
          <w:kern w:val="2"/>
          <w:sz w:val="32"/>
          <w:szCs w:val="32"/>
          <w:lang w:val="en-US" w:eastAsia="zh-CN" w:bidi="ar-SA"/>
        </w:rPr>
        <w:t>2025年，超星电子书平台全年访问量稳定，呈现独特的季节性波动规律。通过将其月度访问趋势与纸质文献借阅趋势进行对比分析</w:t>
      </w:r>
      <w:r>
        <w:rPr>
          <w:rFonts w:hint="eastAsia" w:cs="方正仿宋_GB2312"/>
          <w:kern w:val="2"/>
          <w:sz w:val="32"/>
          <w:szCs w:val="32"/>
          <w:lang w:val="en-US" w:eastAsia="zh-CN" w:bidi="ar-SA"/>
        </w:rPr>
        <w:t>（图4）</w:t>
      </w:r>
      <w:r>
        <w:rPr>
          <w:rFonts w:hint="default" w:cs="方正仿宋_GB2312"/>
          <w:kern w:val="2"/>
          <w:sz w:val="32"/>
          <w:szCs w:val="32"/>
          <w:lang w:val="en-US" w:eastAsia="zh-CN" w:bidi="ar-SA"/>
        </w:rPr>
        <w:t>，可以清晰地发现两种载体在不同场景下的差异化优势，共同构成了一个动态互补的阅读生态。</w:t>
      </w:r>
    </w:p>
    <w:p w14:paraId="2CB0334C">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场景互补性显著</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两者趋势线形成了有趣的“交叉”与“呼应”。电子书访问在7月暑期达到全年峰值（38，603次），而同期纸质书借阅跌至谷底。这表明，在师生离校的假期场景中，不受时空限制的电子书成为满足持续性学习与阅读需求的首选工具。反之，在学期内的教学高峰（如3-4月、10-12月），纸质书借阅量显著攀升，体现了其在深度研读、课程指定参考等方面的不可替代性。</w:t>
      </w:r>
    </w:p>
    <w:p w14:paraId="097BFCCE">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rPr>
          <w:rFonts w:hint="default"/>
          <w:sz w:val="28"/>
          <w:szCs w:val="28"/>
          <w:lang w:val="en-US" w:eastAsia="zh-CN"/>
        </w:rPr>
      </w:pPr>
      <w:r>
        <w:rPr>
          <w:rFonts w:hint="eastAsia"/>
          <w:sz w:val="28"/>
          <w:szCs w:val="28"/>
          <w:lang w:val="en-US" w:eastAsia="zh-CN"/>
        </w:rPr>
        <w:t>图4 纸电图书利用情况对比图</w:t>
      </w:r>
    </w:p>
    <w:p w14:paraId="75C1E2DA">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eastAsia" w:cs="方正仿宋_GB2312"/>
          <w:kern w:val="2"/>
          <w:sz w:val="32"/>
          <w:szCs w:val="32"/>
          <w:lang w:val="en-US" w:eastAsia="zh-CN" w:bidi="ar-SA"/>
        </w:rPr>
        <w:drawing>
          <wp:anchor distT="0" distB="0" distL="114300" distR="114300" simplePos="0" relativeHeight="251667456" behindDoc="0" locked="0" layoutInCell="1" allowOverlap="1">
            <wp:simplePos x="0" y="0"/>
            <wp:positionH relativeFrom="column">
              <wp:posOffset>-18415</wp:posOffset>
            </wp:positionH>
            <wp:positionV relativeFrom="paragraph">
              <wp:posOffset>144780</wp:posOffset>
            </wp:positionV>
            <wp:extent cx="5270500" cy="2808605"/>
            <wp:effectExtent l="0" t="0" r="6350" b="10795"/>
            <wp:wrapTopAndBottom/>
            <wp:docPr id="1" name="图片 1" descr="纸电图书利用情况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纸电图书利用情况对比图"/>
                    <pic:cNvPicPr>
                      <a:picLocks noChangeAspect="1"/>
                    </pic:cNvPicPr>
                  </pic:nvPicPr>
                  <pic:blipFill>
                    <a:blip r:embed="rId9"/>
                    <a:stretch>
                      <a:fillRect/>
                    </a:stretch>
                  </pic:blipFill>
                  <pic:spPr>
                    <a:xfrm>
                      <a:off x="0" y="0"/>
                      <a:ext cx="5270500" cy="2808605"/>
                    </a:xfrm>
                    <a:prstGeom prst="rect">
                      <a:avLst/>
                    </a:prstGeom>
                  </pic:spPr>
                </pic:pic>
              </a:graphicData>
            </a:graphic>
          </wp:anchor>
        </w:drawing>
      </w:r>
      <w:r>
        <w:rPr>
          <w:rFonts w:hint="default" w:cs="方正仿宋_GB2312"/>
          <w:kern w:val="2"/>
          <w:sz w:val="32"/>
          <w:szCs w:val="32"/>
          <w:lang w:val="en-US" w:eastAsia="zh-CN" w:bidi="ar-SA"/>
        </w:rPr>
        <w:t>需求驱动的双高峰</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电子书在5-7月（学期末至暑期）的访问量持续走高，此阶段通常是课程设计与自主学习的集中期，师生对便捷查询和即时获取的电子资源需求激增。这恰好与纸质书在学期末（6月）的小幅回落形成对比，揭示了在高效信息检索和资料整合场景下，数字资源的突出优势。</w:t>
      </w:r>
    </w:p>
    <w:p w14:paraId="2D9625F1">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eastAsia" w:cs="方正仿宋_GB2312"/>
          <w:kern w:val="2"/>
          <w:sz w:val="32"/>
          <w:szCs w:val="32"/>
          <w:lang w:val="en-US" w:eastAsia="zh-CN" w:bidi="ar-SA"/>
        </w:rPr>
        <w:t>同时，</w:t>
      </w:r>
      <w:r>
        <w:rPr>
          <w:rFonts w:hint="default" w:cs="方正仿宋_GB2312"/>
          <w:kern w:val="2"/>
          <w:sz w:val="32"/>
          <w:szCs w:val="32"/>
          <w:lang w:val="en-US" w:eastAsia="zh-CN" w:bidi="ar-SA"/>
        </w:rPr>
        <w:t>电子书在学期中的访问量有小幅抬升，</w:t>
      </w:r>
      <w:r>
        <w:rPr>
          <w:rFonts w:hint="eastAsia" w:cs="方正仿宋_GB2312"/>
          <w:kern w:val="2"/>
          <w:sz w:val="32"/>
          <w:szCs w:val="32"/>
          <w:lang w:val="en-US" w:eastAsia="zh-CN" w:bidi="ar-SA"/>
        </w:rPr>
        <w:t>这可能与</w:t>
      </w:r>
      <w:r>
        <w:rPr>
          <w:rFonts w:hint="default" w:cs="方正仿宋_GB2312"/>
          <w:kern w:val="2"/>
          <w:sz w:val="32"/>
          <w:szCs w:val="32"/>
          <w:lang w:val="en-US" w:eastAsia="zh-CN" w:bidi="ar-SA"/>
        </w:rPr>
        <w:t>图书馆同期开展的“数字资源推广月”、“信息素养培训”等活动</w:t>
      </w:r>
      <w:r>
        <w:rPr>
          <w:rFonts w:hint="eastAsia" w:cs="方正仿宋_GB2312"/>
          <w:kern w:val="2"/>
          <w:sz w:val="32"/>
          <w:szCs w:val="32"/>
          <w:lang w:val="en-US" w:eastAsia="zh-CN" w:bidi="ar-SA"/>
        </w:rPr>
        <w:t>有关</w:t>
      </w:r>
      <w:r>
        <w:rPr>
          <w:rFonts w:hint="default" w:cs="方正仿宋_GB2312"/>
          <w:kern w:val="2"/>
          <w:sz w:val="32"/>
          <w:szCs w:val="32"/>
          <w:lang w:val="en-US" w:eastAsia="zh-CN" w:bidi="ar-SA"/>
        </w:rPr>
        <w:t>，</w:t>
      </w:r>
      <w:r>
        <w:rPr>
          <w:rFonts w:hint="eastAsia" w:cs="方正仿宋_GB2312"/>
          <w:kern w:val="2"/>
          <w:sz w:val="32"/>
          <w:szCs w:val="32"/>
          <w:lang w:val="en-US" w:eastAsia="zh-CN" w:bidi="ar-SA"/>
        </w:rPr>
        <w:t>说明图书馆的阅读</w:t>
      </w:r>
      <w:r>
        <w:rPr>
          <w:rFonts w:hint="default" w:cs="方正仿宋_GB2312"/>
          <w:kern w:val="2"/>
          <w:sz w:val="32"/>
          <w:szCs w:val="32"/>
          <w:lang w:val="en-US" w:eastAsia="zh-CN" w:bidi="ar-SA"/>
        </w:rPr>
        <w:t>推广</w:t>
      </w:r>
      <w:r>
        <w:rPr>
          <w:rFonts w:hint="eastAsia" w:cs="方正仿宋_GB2312"/>
          <w:kern w:val="2"/>
          <w:sz w:val="32"/>
          <w:szCs w:val="32"/>
          <w:lang w:val="en-US" w:eastAsia="zh-CN" w:bidi="ar-SA"/>
        </w:rPr>
        <w:t>活动对读者的</w:t>
      </w:r>
      <w:r>
        <w:rPr>
          <w:rFonts w:hint="default" w:cs="方正仿宋_GB2312"/>
          <w:kern w:val="2"/>
          <w:sz w:val="32"/>
          <w:szCs w:val="32"/>
          <w:lang w:val="en-US" w:eastAsia="zh-CN" w:bidi="ar-SA"/>
        </w:rPr>
        <w:t>使用行为</w:t>
      </w:r>
      <w:r>
        <w:rPr>
          <w:rFonts w:hint="eastAsia" w:cs="方正仿宋_GB2312"/>
          <w:kern w:val="2"/>
          <w:sz w:val="32"/>
          <w:szCs w:val="32"/>
          <w:lang w:val="en-US" w:eastAsia="zh-CN" w:bidi="ar-SA"/>
        </w:rPr>
        <w:t>有着潜在</w:t>
      </w:r>
      <w:r>
        <w:rPr>
          <w:rFonts w:hint="default" w:cs="方正仿宋_GB2312"/>
          <w:kern w:val="2"/>
          <w:sz w:val="32"/>
          <w:szCs w:val="32"/>
          <w:lang w:val="en-US" w:eastAsia="zh-CN" w:bidi="ar-SA"/>
        </w:rPr>
        <w:t>拉动作用。</w:t>
      </w:r>
    </w:p>
    <w:p w14:paraId="28694FBC">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eastAsia" w:cs="方正仿宋_GB2312"/>
          <w:kern w:val="2"/>
          <w:sz w:val="32"/>
          <w:szCs w:val="32"/>
          <w:lang w:val="en-US" w:eastAsia="zh-CN" w:bidi="ar-SA"/>
        </w:rPr>
      </w:pPr>
      <w:r>
        <w:rPr>
          <w:rFonts w:hint="default" w:cs="方正仿宋_GB2312"/>
          <w:kern w:val="2"/>
          <w:sz w:val="32"/>
          <w:szCs w:val="32"/>
          <w:lang w:val="en-US" w:eastAsia="zh-CN" w:bidi="ar-SA"/>
        </w:rPr>
        <w:t>除访问量外，</w:t>
      </w:r>
      <w:r>
        <w:rPr>
          <w:rFonts w:hint="eastAsia" w:cs="方正仿宋_GB2312"/>
          <w:kern w:val="2"/>
          <w:sz w:val="32"/>
          <w:szCs w:val="32"/>
          <w:lang w:val="en-US" w:eastAsia="zh-CN" w:bidi="ar-SA"/>
        </w:rPr>
        <w:t>图书馆</w:t>
      </w:r>
      <w:r>
        <w:rPr>
          <w:rFonts w:hint="default" w:cs="方正仿宋_GB2312"/>
          <w:kern w:val="2"/>
          <w:sz w:val="32"/>
          <w:szCs w:val="32"/>
          <w:lang w:val="en-US" w:eastAsia="zh-CN" w:bidi="ar-SA"/>
        </w:rPr>
        <w:t>未来</w:t>
      </w:r>
      <w:r>
        <w:rPr>
          <w:rFonts w:hint="eastAsia" w:cs="方正仿宋_GB2312"/>
          <w:kern w:val="2"/>
          <w:sz w:val="32"/>
          <w:szCs w:val="32"/>
          <w:lang w:val="en-US" w:eastAsia="zh-CN" w:bidi="ar-SA"/>
        </w:rPr>
        <w:t>将</w:t>
      </w:r>
      <w:r>
        <w:rPr>
          <w:rFonts w:hint="default" w:cs="方正仿宋_GB2312"/>
          <w:kern w:val="2"/>
          <w:sz w:val="32"/>
          <w:szCs w:val="32"/>
          <w:lang w:val="en-US" w:eastAsia="zh-CN" w:bidi="ar-SA"/>
        </w:rPr>
        <w:t>进一步追踪人均下载量、平均阅读时长、热门电子书分类等数据，以区分“浅层浏览”与“深度使用”，更精准地评估电子书的实际学术支撑力度。</w:t>
      </w:r>
    </w:p>
    <w:p w14:paraId="41824530">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ascii="Segoe UI" w:hAnsi="Segoe UI" w:eastAsia="Segoe UI" w:cs="Segoe UI"/>
          <w:i w:val="0"/>
          <w:iCs w:val="0"/>
          <w:caps w:val="0"/>
          <w:color w:val="0F1115"/>
          <w:spacing w:val="0"/>
          <w:sz w:val="24"/>
          <w:szCs w:val="24"/>
          <w:shd w:val="clear" w:fill="FFFFFF"/>
        </w:rPr>
      </w:pPr>
      <w:r>
        <w:rPr>
          <w:rFonts w:hint="default" w:cs="方正仿宋_GB2312"/>
          <w:kern w:val="2"/>
          <w:sz w:val="32"/>
          <w:szCs w:val="32"/>
          <w:lang w:val="en-US" w:eastAsia="zh-CN" w:bidi="ar-SA"/>
        </w:rPr>
        <w:t>综合而言，电子书并非纸质书的简单替代，而是基于不同时空场景与需求层次的自然选择。图书馆将持续关注这种使用模式的演变，通过优化电子资源平台体验、开展精准的电子资源导航与培训，并推动纸电资源的智能化关联推荐，引导师生根据自身需求高效利用两种资源，最大化知识的可及性与利用效能。</w:t>
      </w:r>
    </w:p>
    <w:p w14:paraId="440FC80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right="0" w:rightChars="0" w:firstLine="643" w:firstLineChars="200"/>
        <w:textAlignment w:val="auto"/>
        <w:rPr>
          <w:rFonts w:hint="default" w:ascii="方正仿宋_GB2312" w:hAnsi="方正仿宋_GB2312" w:eastAsia="方正仿宋_GB2312" w:cs="方正仿宋_GB2312"/>
          <w:b/>
          <w:bCs/>
          <w:kern w:val="2"/>
          <w:sz w:val="32"/>
          <w:szCs w:val="32"/>
          <w:lang w:val="en-US" w:eastAsia="zh-CN" w:bidi="ar-SA"/>
        </w:rPr>
      </w:pPr>
      <w:r>
        <w:rPr>
          <w:rFonts w:hint="eastAsia" w:cs="方正仿宋_GB2312"/>
          <w:b/>
          <w:bCs/>
          <w:kern w:val="2"/>
          <w:sz w:val="32"/>
          <w:szCs w:val="32"/>
          <w:lang w:val="en-US" w:eastAsia="zh-CN" w:bidi="ar-SA"/>
        </w:rPr>
        <w:t>2.</w:t>
      </w:r>
      <w:r>
        <w:rPr>
          <w:rFonts w:hint="default" w:ascii="方正仿宋_GB2312" w:hAnsi="方正仿宋_GB2312" w:eastAsia="方正仿宋_GB2312" w:cs="方正仿宋_GB2312"/>
          <w:b/>
          <w:bCs/>
          <w:kern w:val="2"/>
          <w:sz w:val="32"/>
          <w:szCs w:val="32"/>
          <w:lang w:val="en-US" w:eastAsia="zh-CN" w:bidi="ar-SA"/>
        </w:rPr>
        <w:t>学术数据库的“学科热度图”：资源支撑效度分析</w:t>
      </w:r>
    </w:p>
    <w:p w14:paraId="3BD09BBA">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eastAsia" w:cs="方正仿宋_GB2312"/>
          <w:kern w:val="2"/>
          <w:sz w:val="32"/>
          <w:szCs w:val="32"/>
          <w:highlight w:val="yellow"/>
          <w:lang w:val="en-US" w:eastAsia="zh-CN" w:bidi="ar-SA"/>
        </w:rPr>
      </w:pPr>
      <w:r>
        <w:rPr>
          <w:rFonts w:hint="default" w:cs="方正仿宋_GB2312"/>
          <w:kern w:val="2"/>
          <w:sz w:val="32"/>
          <w:szCs w:val="32"/>
          <w:lang w:val="en-US" w:eastAsia="zh-CN" w:bidi="ar-SA"/>
        </w:rPr>
        <w:t>中国知网（CNKI）作为支撑学校教学与科研的核心学术数据库，其使用数据为图书馆评估数字资源支撑效度、洞察校内学术研究动向提供了精准的“热度图谱”。全年总使用次数达</w:t>
      </w:r>
      <w:r>
        <w:rPr>
          <w:rFonts w:hint="eastAsia" w:cs="方正仿宋_GB2312"/>
          <w:kern w:val="2"/>
          <w:sz w:val="32"/>
          <w:szCs w:val="32"/>
          <w:lang w:val="en-US" w:eastAsia="zh-CN" w:bidi="ar-SA"/>
        </w:rPr>
        <w:t>180348</w:t>
      </w:r>
      <w:r>
        <w:rPr>
          <w:rFonts w:hint="eastAsia" w:cs="方正仿宋_GB2312"/>
          <w:kern w:val="2"/>
          <w:sz w:val="32"/>
          <w:szCs w:val="32"/>
          <w:highlight w:val="none"/>
          <w:lang w:val="en-US" w:eastAsia="zh-CN" w:bidi="ar-SA"/>
        </w:rPr>
        <w:t>0</w:t>
      </w:r>
      <w:r>
        <w:rPr>
          <w:rFonts w:hint="default" w:cs="方正仿宋_GB2312"/>
          <w:kern w:val="2"/>
          <w:sz w:val="32"/>
          <w:szCs w:val="32"/>
          <w:highlight w:val="none"/>
          <w:lang w:val="en-US" w:eastAsia="zh-CN" w:bidi="ar-SA"/>
        </w:rPr>
        <w:t>次</w:t>
      </w:r>
      <w:r>
        <w:rPr>
          <w:rFonts w:hint="eastAsia" w:cs="方正仿宋_GB2312"/>
          <w:kern w:val="2"/>
          <w:sz w:val="32"/>
          <w:szCs w:val="32"/>
          <w:highlight w:val="none"/>
          <w:lang w:val="en-US" w:eastAsia="zh-CN" w:bidi="ar-SA"/>
        </w:rPr>
        <w:t>（含跨库检索）</w:t>
      </w:r>
      <w:r>
        <w:rPr>
          <w:rFonts w:hint="default" w:cs="方正仿宋_GB2312"/>
          <w:kern w:val="2"/>
          <w:sz w:val="32"/>
          <w:szCs w:val="32"/>
          <w:highlight w:val="none"/>
          <w:lang w:val="en-US" w:eastAsia="zh-CN" w:bidi="ar-SA"/>
        </w:rPr>
        <w:t>，其中下载 46192次，体现了旺盛且持续的学术需求。</w:t>
      </w:r>
    </w:p>
    <w:p w14:paraId="0553B257">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highlight w:val="none"/>
          <w:lang w:val="en-US" w:eastAsia="zh-CN" w:bidi="ar-SA"/>
        </w:rPr>
        <w:t>从大学科维度看</w:t>
      </w:r>
      <w:r>
        <w:rPr>
          <w:rFonts w:hint="eastAsia" w:cs="方正仿宋_GB2312"/>
          <w:kern w:val="2"/>
          <w:sz w:val="32"/>
          <w:szCs w:val="32"/>
          <w:highlight w:val="none"/>
          <w:lang w:val="en-US" w:eastAsia="zh-CN" w:bidi="ar-SA"/>
        </w:rPr>
        <w:t>（图5）</w:t>
      </w:r>
      <w:r>
        <w:rPr>
          <w:rFonts w:hint="default" w:cs="方正仿宋_GB2312"/>
          <w:kern w:val="2"/>
          <w:sz w:val="32"/>
          <w:szCs w:val="32"/>
          <w:highlight w:val="none"/>
          <w:lang w:val="en-US" w:eastAsia="zh-CN" w:bidi="ar-SA"/>
        </w:rPr>
        <w:t>，</w:t>
      </w:r>
      <w:r>
        <w:rPr>
          <w:rFonts w:hint="eastAsia" w:cs="方正仿宋_GB2312"/>
          <w:kern w:val="2"/>
          <w:sz w:val="32"/>
          <w:szCs w:val="32"/>
          <w:highlight w:val="none"/>
          <w:lang w:val="en-US" w:eastAsia="zh-CN" w:bidi="ar-SA"/>
        </w:rPr>
        <w:t>使用量</w:t>
      </w:r>
      <w:r>
        <w:rPr>
          <w:rFonts w:hint="default" w:cs="方正仿宋_GB2312"/>
          <w:kern w:val="2"/>
          <w:sz w:val="32"/>
          <w:szCs w:val="32"/>
          <w:lang w:val="en-US" w:eastAsia="zh-CN" w:bidi="ar-SA"/>
        </w:rPr>
        <w:t>排名前列的学科与学校的主体专业设置及重点发展方向呈现出高度的战略契合</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信息科技</w:t>
      </w:r>
      <w:r>
        <w:rPr>
          <w:rFonts w:hint="eastAsia" w:cs="方正仿宋_GB2312"/>
          <w:kern w:val="2"/>
          <w:sz w:val="32"/>
          <w:szCs w:val="32"/>
          <w:lang w:val="en-US" w:eastAsia="zh-CN" w:bidi="ar-SA"/>
        </w:rPr>
        <w:t>使用量</w:t>
      </w:r>
      <w:r>
        <w:rPr>
          <w:rFonts w:hint="default" w:cs="方正仿宋_GB2312"/>
          <w:kern w:val="2"/>
          <w:sz w:val="32"/>
          <w:szCs w:val="32"/>
          <w:lang w:val="en-US" w:eastAsia="zh-CN" w:bidi="ar-SA"/>
        </w:rPr>
        <w:t>居首，这与人工智能学院的快速发展，以及计算机、自动化、电子信息等技术在全校各工科专业中的深度融合密不可分。工程科技Ⅱ辑与工程科技Ⅰ辑两者合计</w:t>
      </w:r>
      <w:r>
        <w:rPr>
          <w:rFonts w:hint="eastAsia" w:cs="方正仿宋_GB2312"/>
          <w:kern w:val="2"/>
          <w:sz w:val="32"/>
          <w:szCs w:val="32"/>
          <w:lang w:val="en-US" w:eastAsia="zh-CN" w:bidi="ar-SA"/>
        </w:rPr>
        <w:t>使用量</w:t>
      </w:r>
      <w:r>
        <w:rPr>
          <w:rFonts w:hint="default" w:cs="方正仿宋_GB2312"/>
          <w:kern w:val="2"/>
          <w:sz w:val="32"/>
          <w:szCs w:val="32"/>
          <w:lang w:val="en-US" w:eastAsia="zh-CN" w:bidi="ar-SA"/>
        </w:rPr>
        <w:t>占比近30%，强力支撑了 机电工程学院、汽车工程学院、建筑工程学院、材料工程学院等核心工科院系的课程学习</w:t>
      </w:r>
      <w:r>
        <w:rPr>
          <w:rFonts w:hint="eastAsia" w:cs="方正仿宋_GB2312"/>
          <w:kern w:val="2"/>
          <w:sz w:val="32"/>
          <w:szCs w:val="32"/>
          <w:lang w:val="en-US" w:eastAsia="zh-CN" w:bidi="ar-SA"/>
        </w:rPr>
        <w:t>与教学科研</w:t>
      </w:r>
      <w:r>
        <w:rPr>
          <w:rFonts w:hint="default" w:cs="方正仿宋_GB2312"/>
          <w:kern w:val="2"/>
          <w:sz w:val="32"/>
          <w:szCs w:val="32"/>
          <w:lang w:val="en-US" w:eastAsia="zh-CN" w:bidi="ar-SA"/>
        </w:rPr>
        <w:t>。社会科学Ⅱ辑其中“职业教育”、“高等教育”等二级学科使用频次极高，直接服务于学校的教育教学改革与研究，同时覆盖了经济管理学院、教育艺术学院等多个学院的基础理论需求。</w:t>
      </w:r>
    </w:p>
    <w:p w14:paraId="307B1F3B">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rPr>
          <w:rFonts w:hint="default"/>
          <w:sz w:val="28"/>
          <w:szCs w:val="28"/>
          <w:lang w:val="en-US" w:eastAsia="zh-CN"/>
        </w:rPr>
      </w:pPr>
      <w:r>
        <w:rPr>
          <w:rFonts w:hint="eastAsia"/>
          <w:sz w:val="28"/>
          <w:szCs w:val="28"/>
          <w:lang w:val="en-US" w:eastAsia="zh-CN"/>
        </w:rPr>
        <w:t>图5 2025年师生中国知网使用情况统计图（按大类）</w:t>
      </w:r>
    </w:p>
    <w:p w14:paraId="64CF4279">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textAlignment w:val="auto"/>
        <w:rPr>
          <w:rFonts w:hint="eastAsia" w:cs="方正仿宋_GB2312"/>
          <w:kern w:val="2"/>
          <w:sz w:val="32"/>
          <w:szCs w:val="32"/>
          <w:lang w:val="en-US" w:eastAsia="zh-CN" w:bidi="ar-SA"/>
        </w:rPr>
      </w:pPr>
      <w:r>
        <w:rPr>
          <w:rFonts w:hint="eastAsia" w:cs="方正仿宋_GB2312"/>
          <w:kern w:val="2"/>
          <w:sz w:val="32"/>
          <w:szCs w:val="32"/>
          <w:lang w:val="en-US" w:eastAsia="zh-CN" w:bidi="ar-SA"/>
        </w:rPr>
        <w:drawing>
          <wp:inline distT="0" distB="0" distL="114300" distR="114300">
            <wp:extent cx="5272405" cy="2552700"/>
            <wp:effectExtent l="0" t="0" r="4445" b="0"/>
            <wp:docPr id="13" name="图片 13" descr="2025年师生中国知网使用情况统计图（按大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5年师生中国知网使用情况统计图（按大类"/>
                    <pic:cNvPicPr>
                      <a:picLocks noChangeAspect="1"/>
                    </pic:cNvPicPr>
                  </pic:nvPicPr>
                  <pic:blipFill>
                    <a:blip r:embed="rId10"/>
                    <a:stretch>
                      <a:fillRect/>
                    </a:stretch>
                  </pic:blipFill>
                  <pic:spPr>
                    <a:xfrm>
                      <a:off x="0" y="0"/>
                      <a:ext cx="5272405" cy="2552700"/>
                    </a:xfrm>
                    <a:prstGeom prst="rect">
                      <a:avLst/>
                    </a:prstGeom>
                  </pic:spPr>
                </pic:pic>
              </a:graphicData>
            </a:graphic>
          </wp:inline>
        </w:drawing>
      </w:r>
    </w:p>
    <w:p w14:paraId="60311B85">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highlight w:val="none"/>
          <w:lang w:val="en-US" w:eastAsia="zh-CN" w:bidi="ar-SA"/>
        </w:rPr>
      </w:pPr>
      <w:r>
        <w:rPr>
          <w:rFonts w:hint="default" w:cs="方正仿宋_GB2312"/>
          <w:kern w:val="2"/>
          <w:sz w:val="32"/>
          <w:szCs w:val="32"/>
          <w:lang w:val="en-US" w:eastAsia="zh-CN" w:bidi="ar-SA"/>
        </w:rPr>
        <w:t>核心学术资源的利用热点，清晰地投射出我校以工科为主体、经管与人文</w:t>
      </w:r>
      <w:r>
        <w:rPr>
          <w:rFonts w:hint="default" w:cs="方正仿宋_GB2312"/>
          <w:kern w:val="2"/>
          <w:sz w:val="32"/>
          <w:szCs w:val="32"/>
          <w:highlight w:val="none"/>
          <w:lang w:val="en-US" w:eastAsia="zh-CN" w:bidi="ar-SA"/>
        </w:rPr>
        <w:t>社科协同发展的办学格局。数字资源建设与学科需求之间形成了有效的正向循环。</w:t>
      </w:r>
    </w:p>
    <w:p w14:paraId="0CC4C063">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eastAsia" w:cs="方正仿宋_GB2312"/>
          <w:kern w:val="2"/>
          <w:sz w:val="32"/>
          <w:szCs w:val="32"/>
          <w:highlight w:val="none"/>
          <w:lang w:val="en-US" w:eastAsia="zh-CN" w:bidi="ar-SA"/>
        </w:rPr>
        <w:t>从二级学科（图6）来看，</w:t>
      </w:r>
      <w:r>
        <w:rPr>
          <w:rFonts w:hint="default" w:cs="方正仿宋_GB2312"/>
          <w:kern w:val="2"/>
          <w:sz w:val="32"/>
          <w:szCs w:val="32"/>
          <w:highlight w:val="none"/>
          <w:lang w:val="en-US" w:eastAsia="zh-CN" w:bidi="ar-SA"/>
        </w:rPr>
        <w:t>细分学科</w:t>
      </w:r>
      <w:r>
        <w:rPr>
          <w:rFonts w:hint="default" w:cs="方正仿宋_GB2312"/>
          <w:kern w:val="2"/>
          <w:sz w:val="32"/>
          <w:szCs w:val="32"/>
          <w:lang w:val="en-US" w:eastAsia="zh-CN" w:bidi="ar-SA"/>
        </w:rPr>
        <w:t>的数据揭示了更深层次的学术兴趣与潜在的服务方向</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在“工程科技Ⅱ辑”中，建筑科学与工程、铁路运输等细分领域的高</w:t>
      </w:r>
      <w:r>
        <w:rPr>
          <w:rFonts w:hint="eastAsia" w:cs="方正仿宋_GB2312"/>
          <w:kern w:val="2"/>
          <w:sz w:val="32"/>
          <w:szCs w:val="32"/>
          <w:lang w:val="en-US" w:eastAsia="zh-CN" w:bidi="ar-SA"/>
        </w:rPr>
        <w:t>使用量</w:t>
      </w:r>
      <w:r>
        <w:rPr>
          <w:rFonts w:hint="default" w:cs="方正仿宋_GB2312"/>
          <w:kern w:val="2"/>
          <w:sz w:val="32"/>
          <w:szCs w:val="32"/>
          <w:lang w:val="en-US" w:eastAsia="zh-CN" w:bidi="ar-SA"/>
        </w:rPr>
        <w:t>，与建筑工程学院、汽车工程学院的专业特色直接对应，证明了资源对特色专业方向的支持是具体而深入的</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计算机软件及计算机应用、电信技术等领域的热度，不仅反映了人工智能、信息技术相关专业的普遍需求，也可能预示着智能制造、工业互联网等交叉研究方向的兴起。</w:t>
      </w:r>
    </w:p>
    <w:p w14:paraId="555FE127">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rPr>
          <w:rFonts w:hint="default"/>
          <w:sz w:val="28"/>
          <w:szCs w:val="28"/>
          <w:lang w:val="en-US" w:eastAsia="zh-CN"/>
        </w:rPr>
      </w:pPr>
      <w:r>
        <w:rPr>
          <w:rFonts w:hint="eastAsia"/>
          <w:sz w:val="28"/>
          <w:szCs w:val="28"/>
          <w:lang w:val="en-US" w:eastAsia="zh-CN"/>
        </w:rPr>
        <w:t>图6 2025年师生中国知网使用量前20统计图（按二级学科）</w:t>
      </w:r>
    </w:p>
    <w:p w14:paraId="618A3BDF">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textAlignment w:val="auto"/>
        <w:rPr>
          <w:rFonts w:hint="eastAsia" w:cs="方正仿宋_GB2312"/>
          <w:kern w:val="2"/>
          <w:sz w:val="32"/>
          <w:szCs w:val="32"/>
          <w:lang w:val="en-US" w:eastAsia="zh-CN" w:bidi="ar-SA"/>
        </w:rPr>
      </w:pPr>
      <w:r>
        <w:rPr>
          <w:rFonts w:hint="eastAsia" w:cs="方正仿宋_GB2312"/>
          <w:kern w:val="2"/>
          <w:sz w:val="32"/>
          <w:szCs w:val="32"/>
          <w:lang w:val="en-US" w:eastAsia="zh-CN" w:bidi="ar-SA"/>
        </w:rPr>
        <w:drawing>
          <wp:inline distT="0" distB="0" distL="114300" distR="114300">
            <wp:extent cx="5274310" cy="3054985"/>
            <wp:effectExtent l="0" t="0" r="2540" b="12065"/>
            <wp:docPr id="15" name="图片 15" descr="2025年师生中国知网使用量前20统计图（按二级学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5年师生中国知网使用量前20统计图（按二级学科）"/>
                    <pic:cNvPicPr>
                      <a:picLocks noChangeAspect="1"/>
                    </pic:cNvPicPr>
                  </pic:nvPicPr>
                  <pic:blipFill>
                    <a:blip r:embed="rId11"/>
                    <a:stretch>
                      <a:fillRect/>
                    </a:stretch>
                  </pic:blipFill>
                  <pic:spPr>
                    <a:xfrm>
                      <a:off x="0" y="0"/>
                      <a:ext cx="5274310" cy="3054985"/>
                    </a:xfrm>
                    <a:prstGeom prst="rect">
                      <a:avLst/>
                    </a:prstGeom>
                  </pic:spPr>
                </pic:pic>
              </a:graphicData>
            </a:graphic>
          </wp:inline>
        </w:drawing>
      </w:r>
      <w:r>
        <w:rPr>
          <w:rFonts w:hint="eastAsia" w:cs="方正仿宋_GB2312"/>
          <w:kern w:val="2"/>
          <w:sz w:val="32"/>
          <w:szCs w:val="32"/>
          <w:lang w:val="en-US" w:eastAsia="zh-CN" w:bidi="ar-SA"/>
        </w:rPr>
        <w:t xml:space="preserve">    </w:t>
      </w:r>
      <w:r>
        <w:rPr>
          <w:rFonts w:hint="default" w:cs="方正仿宋_GB2312"/>
          <w:kern w:val="2"/>
          <w:sz w:val="32"/>
          <w:szCs w:val="32"/>
          <w:lang w:val="en-US" w:eastAsia="zh-CN" w:bidi="ar-SA"/>
        </w:rPr>
        <w:t>相对而言，医药卫生科技的整体</w:t>
      </w:r>
      <w:r>
        <w:rPr>
          <w:rFonts w:hint="eastAsia" w:cs="方正仿宋_GB2312"/>
          <w:kern w:val="2"/>
          <w:sz w:val="32"/>
          <w:szCs w:val="32"/>
          <w:lang w:val="en-US" w:eastAsia="zh-CN" w:bidi="ar-SA"/>
        </w:rPr>
        <w:t>使用量</w:t>
      </w:r>
      <w:r>
        <w:rPr>
          <w:rFonts w:hint="default" w:cs="方正仿宋_GB2312"/>
          <w:kern w:val="2"/>
          <w:sz w:val="32"/>
          <w:szCs w:val="32"/>
          <w:lang w:val="en-US" w:eastAsia="zh-CN" w:bidi="ar-SA"/>
        </w:rPr>
        <w:t>与其专业重要性相比，有进一步提升空间。这可能提示，未来在面向医学护理学院的资源推广、针对性信息素养培训或专科数据库引进方面，存在深化服务的潜力。</w:t>
      </w:r>
    </w:p>
    <w:p w14:paraId="56F4334C">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eastAsia" w:cs="方正仿宋_GB2312"/>
          <w:kern w:val="2"/>
          <w:sz w:val="32"/>
          <w:szCs w:val="32"/>
          <w:lang w:val="en-US" w:eastAsia="zh-CN" w:bidi="ar-SA"/>
        </w:rPr>
        <w:t>综合分析表明，</w:t>
      </w:r>
      <w:r>
        <w:rPr>
          <w:rFonts w:hint="default" w:cs="方正仿宋_GB2312"/>
          <w:kern w:val="2"/>
          <w:sz w:val="32"/>
          <w:szCs w:val="32"/>
          <w:lang w:val="en-US" w:eastAsia="zh-CN" w:bidi="ar-SA"/>
        </w:rPr>
        <w:t>图书馆</w:t>
      </w:r>
      <w:r>
        <w:rPr>
          <w:rFonts w:hint="eastAsia" w:cs="方正仿宋_GB2312"/>
          <w:kern w:val="2"/>
          <w:sz w:val="32"/>
          <w:szCs w:val="32"/>
          <w:lang w:val="en-US" w:eastAsia="zh-CN" w:bidi="ar-SA"/>
        </w:rPr>
        <w:t>需继续</w:t>
      </w:r>
      <w:r>
        <w:rPr>
          <w:rFonts w:hint="default" w:cs="方正仿宋_GB2312"/>
          <w:kern w:val="2"/>
          <w:sz w:val="32"/>
          <w:szCs w:val="32"/>
          <w:lang w:val="en-US" w:eastAsia="zh-CN" w:bidi="ar-SA"/>
        </w:rPr>
        <w:t>巩固优势</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保障高热度学科资源的连续性与前沿性。</w:t>
      </w:r>
      <w:r>
        <w:rPr>
          <w:rFonts w:hint="eastAsia" w:cs="方正仿宋_GB2312"/>
          <w:kern w:val="2"/>
          <w:sz w:val="32"/>
          <w:szCs w:val="32"/>
          <w:lang w:val="en-US" w:eastAsia="zh-CN" w:bidi="ar-SA"/>
        </w:rPr>
        <w:t>同时，</w:t>
      </w:r>
      <w:r>
        <w:rPr>
          <w:rFonts w:hint="default" w:cs="方正仿宋_GB2312"/>
          <w:kern w:val="2"/>
          <w:sz w:val="32"/>
          <w:szCs w:val="32"/>
          <w:lang w:val="en-US" w:eastAsia="zh-CN" w:bidi="ar-SA"/>
        </w:rPr>
        <w:t>针对使用量突出的细分领域（如自动化、计算机应用），可联合院系开展专题文献推介或研究前沿分析服务。</w:t>
      </w:r>
      <w:r>
        <w:rPr>
          <w:rFonts w:hint="eastAsia" w:cs="方正仿宋_GB2312"/>
          <w:kern w:val="2"/>
          <w:sz w:val="32"/>
          <w:szCs w:val="32"/>
          <w:lang w:val="en-US" w:eastAsia="zh-CN" w:bidi="ar-SA"/>
        </w:rPr>
        <w:t>对于使用量</w:t>
      </w:r>
      <w:r>
        <w:rPr>
          <w:rFonts w:hint="default" w:cs="方正仿宋_GB2312"/>
          <w:kern w:val="2"/>
          <w:sz w:val="32"/>
          <w:szCs w:val="32"/>
          <w:lang w:val="en-US" w:eastAsia="zh-CN" w:bidi="ar-SA"/>
        </w:rPr>
        <w:t>相对薄弱</w:t>
      </w:r>
      <w:r>
        <w:rPr>
          <w:rFonts w:hint="eastAsia" w:cs="方正仿宋_GB2312"/>
          <w:kern w:val="2"/>
          <w:sz w:val="32"/>
          <w:szCs w:val="32"/>
          <w:lang w:val="en-US" w:eastAsia="zh-CN" w:bidi="ar-SA"/>
        </w:rPr>
        <w:t>的学科</w:t>
      </w:r>
      <w:r>
        <w:rPr>
          <w:rFonts w:hint="default" w:cs="方正仿宋_GB2312"/>
          <w:kern w:val="2"/>
          <w:sz w:val="32"/>
          <w:szCs w:val="32"/>
          <w:lang w:val="en-US" w:eastAsia="zh-CN" w:bidi="ar-SA"/>
        </w:rPr>
        <w:t>领域</w:t>
      </w:r>
      <w:r>
        <w:rPr>
          <w:rFonts w:hint="eastAsia" w:cs="方正仿宋_GB2312"/>
          <w:kern w:val="2"/>
          <w:sz w:val="32"/>
          <w:szCs w:val="32"/>
          <w:lang w:val="en-US" w:eastAsia="zh-CN" w:bidi="ar-SA"/>
        </w:rPr>
        <w:t>，要积极分析原因，</w:t>
      </w:r>
      <w:r>
        <w:rPr>
          <w:rFonts w:hint="default" w:cs="方正仿宋_GB2312"/>
          <w:kern w:val="2"/>
          <w:sz w:val="32"/>
          <w:szCs w:val="32"/>
          <w:lang w:val="en-US" w:eastAsia="zh-CN" w:bidi="ar-SA"/>
        </w:rPr>
        <w:t>通过主动宣传、嵌入式教学等方式，提升高质量学术资源在全体师生中的认知度和利用率，确保数字资源支撑效益的最大化。</w:t>
      </w:r>
    </w:p>
    <w:p w14:paraId="683016D1">
      <w:pPr>
        <w:pStyle w:val="4"/>
        <w:bidi w:val="0"/>
        <w:ind w:firstLine="640" w:firstLineChars="200"/>
        <w:rPr>
          <w:rFonts w:hint="default" w:ascii="宋体" w:hAnsi="宋体"/>
        </w:rPr>
      </w:pPr>
      <w:bookmarkStart w:id="9" w:name="_Toc9212"/>
      <w:r>
        <w:rPr>
          <w:rFonts w:hint="default" w:ascii="宋体" w:hAnsi="宋体"/>
        </w:rPr>
        <w:t>（四）</w:t>
      </w:r>
      <w:r>
        <w:rPr>
          <w:rFonts w:hint="eastAsia" w:ascii="宋体" w:hAnsi="宋体"/>
          <w:lang w:val="en-US" w:eastAsia="zh-CN"/>
        </w:rPr>
        <w:t xml:space="preserve"> </w:t>
      </w:r>
      <w:r>
        <w:rPr>
          <w:rFonts w:hint="default" w:ascii="宋体" w:hAnsi="宋体"/>
        </w:rPr>
        <w:t>服务模式：多元探索与立体延伸</w:t>
      </w:r>
      <w:bookmarkEnd w:id="9"/>
    </w:p>
    <w:p w14:paraId="51D3F2D8">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2025年，图书馆在持续夯实基础服务的同时，积极探索服务模式的多元化与立体化延伸，逐步构建起线上线下融合、校内校外联动、覆盖不同群体、贯穿育人全程的服务新格局。</w:t>
      </w:r>
    </w:p>
    <w:p w14:paraId="68873020">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3" w:firstLineChars="200"/>
        <w:textAlignment w:val="auto"/>
        <w:rPr>
          <w:rFonts w:hint="default" w:cs="方正仿宋_GB2312"/>
          <w:b/>
          <w:bCs/>
          <w:kern w:val="2"/>
          <w:sz w:val="32"/>
          <w:szCs w:val="32"/>
          <w:lang w:val="en-US" w:eastAsia="zh-CN" w:bidi="ar-SA"/>
        </w:rPr>
      </w:pPr>
      <w:r>
        <w:rPr>
          <w:rFonts w:hint="default" w:cs="方正仿宋_GB2312"/>
          <w:b/>
          <w:bCs/>
          <w:kern w:val="2"/>
          <w:sz w:val="32"/>
          <w:szCs w:val="32"/>
          <w:lang w:val="en-US" w:eastAsia="zh-CN" w:bidi="ar-SA"/>
        </w:rPr>
        <w:t>1. 深耕阅读推广，打造品牌化活动</w:t>
      </w:r>
    </w:p>
    <w:p w14:paraId="7214BD20">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围绕立德树人根本任务与校园文化建设，图书馆策划并实施了一系列主题鲜明、形式多样的阅读推广活动，有效提升了资源利用率与文化育人实效。</w:t>
      </w:r>
    </w:p>
    <w:p w14:paraId="549E9622">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品牌活动引领：成功举办以“书韵绵长 阅启新章”为主题的读书月系列活动，涵盖六大板块三十余项内容，吸引万余名读者参与。常态化开展 “你选书，我买单”荐购服务，精准对接需求。</w:t>
      </w:r>
    </w:p>
    <w:p w14:paraId="79928316">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主题展览与分享：策划“档案中的红色记忆”“五四薪火传”“茅盾文学奖获奖作品” 等主题书展与读书分享会逾15场，结合重要节日节点开展特色文化展览，营造浓厚书香氛围。</w:t>
      </w:r>
    </w:p>
    <w:p w14:paraId="0A79DCDA">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创新育人机制：首创将阅读行为（借阅、参与活动）纳入学校 “新愚公”素养工程积分体系，构建“阅读—实践—成长” 协同育人路径，评选“校园十大书香引路人”与“悦读先锋”，极大激发了师生的阅读内驱力。</w:t>
      </w:r>
    </w:p>
    <w:p w14:paraId="6D67885D">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3" w:firstLineChars="200"/>
        <w:textAlignment w:val="auto"/>
        <w:rPr>
          <w:rFonts w:hint="default" w:cs="方正仿宋_GB2312"/>
          <w:b/>
          <w:bCs/>
          <w:kern w:val="2"/>
          <w:sz w:val="32"/>
          <w:szCs w:val="32"/>
          <w:lang w:val="en-US" w:eastAsia="zh-CN" w:bidi="ar-SA"/>
        </w:rPr>
      </w:pPr>
      <w:r>
        <w:rPr>
          <w:rFonts w:hint="default" w:cs="方正仿宋_GB2312"/>
          <w:b/>
          <w:bCs/>
          <w:kern w:val="2"/>
          <w:sz w:val="32"/>
          <w:szCs w:val="32"/>
          <w:lang w:val="en-US" w:eastAsia="zh-CN" w:bidi="ar-SA"/>
        </w:rPr>
        <w:t>2. 履行社会职能，拓展公共文化服务</w:t>
      </w:r>
    </w:p>
    <w:p w14:paraId="66F48CEE">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依托河南省社科普及基地等平台，图书馆主动面向社会，提供多元公共文化服务，助力“书香济源”建设。</w:t>
      </w:r>
    </w:p>
    <w:p w14:paraId="705B702D">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普惠性文化活动：组织开展 “银发书香‘阅’享四季”“童心向祖国”诵读、非遗体验、知识竞答等各类活动</w:t>
      </w:r>
      <w:r>
        <w:rPr>
          <w:rFonts w:hint="eastAsia" w:cs="方正仿宋_GB2312"/>
          <w:kern w:val="2"/>
          <w:sz w:val="32"/>
          <w:szCs w:val="32"/>
          <w:lang w:val="en-US" w:eastAsia="zh-CN" w:bidi="ar-SA"/>
        </w:rPr>
        <w:t>120</w:t>
      </w:r>
      <w:r>
        <w:rPr>
          <w:rFonts w:hint="default" w:cs="方正仿宋_GB2312"/>
          <w:kern w:val="2"/>
          <w:sz w:val="32"/>
          <w:szCs w:val="32"/>
          <w:lang w:val="en-US" w:eastAsia="zh-CN" w:bidi="ar-SA"/>
        </w:rPr>
        <w:t>余场，服务覆盖全年龄段市民。</w:t>
      </w:r>
    </w:p>
    <w:p w14:paraId="7134ACB7">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研学与社会教育：发挥终身教育研学基地职能，接待专题研学10场；开展视障读者回访、乡镇图书漂流、城市书房业务指导等精准服务，延伸公益服务链条。</w:t>
      </w:r>
    </w:p>
    <w:p w14:paraId="088009DE">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3" w:firstLineChars="200"/>
        <w:textAlignment w:val="auto"/>
        <w:rPr>
          <w:rFonts w:hint="default" w:cs="方正仿宋_GB2312"/>
          <w:b/>
          <w:bCs/>
          <w:kern w:val="2"/>
          <w:sz w:val="32"/>
          <w:szCs w:val="32"/>
          <w:lang w:val="en-US" w:eastAsia="zh-CN" w:bidi="ar-SA"/>
        </w:rPr>
      </w:pPr>
      <w:r>
        <w:rPr>
          <w:rFonts w:hint="eastAsia" w:cs="方正仿宋_GB2312"/>
          <w:b/>
          <w:bCs/>
          <w:kern w:val="2"/>
          <w:sz w:val="32"/>
          <w:szCs w:val="32"/>
          <w:lang w:val="en-US" w:eastAsia="zh-CN" w:bidi="ar-SA"/>
        </w:rPr>
        <w:t>3</w:t>
      </w:r>
      <w:r>
        <w:rPr>
          <w:rFonts w:hint="default" w:cs="方正仿宋_GB2312"/>
          <w:b/>
          <w:bCs/>
          <w:kern w:val="2"/>
          <w:sz w:val="32"/>
          <w:szCs w:val="32"/>
          <w:lang w:val="en-US" w:eastAsia="zh-CN" w:bidi="ar-SA"/>
        </w:rPr>
        <w:t>. 延伸服务网络，实现资源精准投送</w:t>
      </w:r>
    </w:p>
    <w:p w14:paraId="46CCA242">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为满足师生与特定机构的专业化、便捷化需求，图书馆积极构建“1+N”服务网络。</w:t>
      </w:r>
    </w:p>
    <w:p w14:paraId="098D9270">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校内服务点：在医学护理学院、马克思主义学院、经济管理学院设立专业图书服务点，提供学科针对性强的资源与服务。</w:t>
      </w:r>
    </w:p>
    <w:p w14:paraId="7FBA102F">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校外合作点：新建示范区党委组织部、宣传部等馆外服务点，并通过定期回访与图书轮换机制，确保服务时效与质量，让优质资源突破物理边界。</w:t>
      </w:r>
    </w:p>
    <w:p w14:paraId="22AB7C07">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3" w:firstLineChars="200"/>
        <w:textAlignment w:val="auto"/>
        <w:rPr>
          <w:rFonts w:hint="default" w:cs="方正仿宋_GB2312"/>
          <w:b/>
          <w:bCs/>
          <w:kern w:val="2"/>
          <w:sz w:val="32"/>
          <w:szCs w:val="32"/>
          <w:lang w:val="en-US" w:eastAsia="zh-CN" w:bidi="ar-SA"/>
        </w:rPr>
      </w:pPr>
      <w:r>
        <w:rPr>
          <w:rFonts w:hint="eastAsia" w:cs="方正仿宋_GB2312"/>
          <w:b/>
          <w:bCs/>
          <w:kern w:val="2"/>
          <w:sz w:val="32"/>
          <w:szCs w:val="32"/>
          <w:lang w:val="en-US" w:eastAsia="zh-CN" w:bidi="ar-SA"/>
        </w:rPr>
        <w:t>4</w:t>
      </w:r>
      <w:r>
        <w:rPr>
          <w:rFonts w:hint="default" w:cs="方正仿宋_GB2312"/>
          <w:b/>
          <w:bCs/>
          <w:kern w:val="2"/>
          <w:sz w:val="32"/>
          <w:szCs w:val="32"/>
          <w:lang w:val="en-US" w:eastAsia="zh-CN" w:bidi="ar-SA"/>
        </w:rPr>
        <w:t>. 强化入馆教育，培育潜在终身读者</w:t>
      </w:r>
    </w:p>
    <w:p w14:paraId="41E712C2">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eastAsia" w:cs="方正仿宋_GB2312"/>
          <w:kern w:val="2"/>
          <w:sz w:val="32"/>
          <w:szCs w:val="32"/>
          <w:lang w:val="en-US" w:eastAsia="zh-CN" w:bidi="ar-SA"/>
        </w:rPr>
      </w:pPr>
      <w:r>
        <w:rPr>
          <w:rFonts w:hint="default" w:cs="方正仿宋_GB2312"/>
          <w:kern w:val="2"/>
          <w:sz w:val="32"/>
          <w:szCs w:val="32"/>
          <w:lang w:val="en-US" w:eastAsia="zh-CN" w:bidi="ar-SA"/>
        </w:rPr>
        <w:t>面向新生开展系统性、沉浸式的入馆教育，为其充分利用图书馆奠定基础。采用 “理论讲解+实地参观+操作体验” 的融合模式，详细介绍馆藏布局、借阅规则、自助设备及线上服务的使用方法。下半年累计完成新生入馆教育约5000人次，有效帮助新生快速熟悉图书馆，引导其建立良好的信息素养与阅读习惯，为培育未来的忠实读者与深度用户提供了重要起点。</w:t>
      </w:r>
    </w:p>
    <w:p w14:paraId="45EE069D">
      <w:pPr>
        <w:pStyle w:val="4"/>
        <w:bidi w:val="0"/>
        <w:ind w:firstLine="640" w:firstLineChars="200"/>
        <w:rPr>
          <w:rFonts w:hint="default"/>
        </w:rPr>
      </w:pPr>
      <w:bookmarkStart w:id="10" w:name="_Toc3785"/>
      <w:r>
        <w:rPr>
          <w:rFonts w:hint="default"/>
        </w:rPr>
        <w:t>（</w:t>
      </w:r>
      <w:r>
        <w:rPr>
          <w:rFonts w:hint="eastAsia"/>
          <w:lang w:val="en-US" w:eastAsia="zh-CN"/>
        </w:rPr>
        <w:t>五</w:t>
      </w:r>
      <w:r>
        <w:rPr>
          <w:rFonts w:hint="default"/>
        </w:rPr>
        <w:t>） 聆听读者：调研反馈与服务闭环</w:t>
      </w:r>
      <w:bookmarkEnd w:id="10"/>
    </w:p>
    <w:p w14:paraId="5CB5D0E1">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640" w:firstLineChars="200"/>
        <w:textAlignment w:val="auto"/>
        <w:rPr>
          <w:rFonts w:hint="default" w:cs="方正仿宋_GB2312"/>
          <w:kern w:val="2"/>
          <w:sz w:val="32"/>
          <w:szCs w:val="32"/>
          <w:lang w:val="en-US" w:eastAsia="zh-CN" w:bidi="ar-SA"/>
        </w:rPr>
      </w:pPr>
      <w:r>
        <w:rPr>
          <w:rFonts w:hint="eastAsia" w:cs="方正仿宋_GB2312"/>
          <w:kern w:val="2"/>
          <w:sz w:val="32"/>
          <w:szCs w:val="32"/>
          <w:lang w:val="en-US" w:eastAsia="zh-CN" w:bidi="ar-SA"/>
        </w:rPr>
        <w:t>为进一步了解读者需求，提升服务效能，图书馆进行了一次问卷调查，</w:t>
      </w:r>
      <w:r>
        <w:rPr>
          <w:rFonts w:hint="default" w:cs="方正仿宋_GB2312"/>
          <w:kern w:val="2"/>
          <w:sz w:val="32"/>
          <w:szCs w:val="32"/>
          <w:lang w:val="en-US" w:eastAsia="zh-CN" w:bidi="ar-SA"/>
        </w:rPr>
        <w:t>调研</w:t>
      </w:r>
      <w:r>
        <w:rPr>
          <w:rFonts w:hint="eastAsia" w:cs="方正仿宋_GB2312"/>
          <w:kern w:val="2"/>
          <w:sz w:val="32"/>
          <w:szCs w:val="32"/>
          <w:lang w:val="en-US" w:eastAsia="zh-CN" w:bidi="ar-SA"/>
        </w:rPr>
        <w:t>范围</w:t>
      </w:r>
      <w:r>
        <w:rPr>
          <w:rFonts w:hint="default" w:cs="方正仿宋_GB2312"/>
          <w:kern w:val="2"/>
          <w:sz w:val="32"/>
          <w:szCs w:val="32"/>
          <w:lang w:val="en-US" w:eastAsia="zh-CN" w:bidi="ar-SA"/>
        </w:rPr>
        <w:t>覆盖机电工程、建筑工程、医学护理、经济管理</w:t>
      </w:r>
      <w:r>
        <w:rPr>
          <w:rFonts w:hint="eastAsia" w:cs="方正仿宋_GB2312"/>
          <w:kern w:val="2"/>
          <w:sz w:val="32"/>
          <w:szCs w:val="32"/>
          <w:lang w:val="en-US" w:eastAsia="zh-CN" w:bidi="ar-SA"/>
        </w:rPr>
        <w:t>等学院</w:t>
      </w:r>
      <w:r>
        <w:rPr>
          <w:rFonts w:hint="default" w:cs="方正仿宋_GB2312"/>
          <w:kern w:val="2"/>
          <w:sz w:val="32"/>
          <w:szCs w:val="32"/>
          <w:lang w:val="en-US" w:eastAsia="zh-CN" w:bidi="ar-SA"/>
        </w:rPr>
        <w:t>215位师生</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数据整体反馈呈现出“满意度基础稳固、服务体验存在优化空间”的特征。调研结果</w:t>
      </w:r>
      <w:r>
        <w:rPr>
          <w:rFonts w:hint="eastAsia" w:cs="方正仿宋_GB2312"/>
          <w:kern w:val="2"/>
          <w:sz w:val="32"/>
          <w:szCs w:val="32"/>
          <w:lang w:val="en-US" w:eastAsia="zh-CN" w:bidi="ar-SA"/>
        </w:rPr>
        <w:t>将</w:t>
      </w:r>
      <w:r>
        <w:rPr>
          <w:rFonts w:hint="default" w:cs="方正仿宋_GB2312"/>
          <w:kern w:val="2"/>
          <w:sz w:val="32"/>
          <w:szCs w:val="32"/>
          <w:lang w:val="en-US" w:eastAsia="zh-CN" w:bidi="ar-SA"/>
        </w:rPr>
        <w:t>推动多项资源建设决策，形成“需求采集—分析响应—资源优化—服务提升”的良性闭环，为图书馆下一步战略推进提供清晰的数据支持。</w:t>
      </w:r>
    </w:p>
    <w:p w14:paraId="4D1E0B40">
      <w:pPr>
        <w:pStyle w:val="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firstLine="643" w:firstLineChars="200"/>
        <w:textAlignment w:val="auto"/>
        <w:rPr>
          <w:rFonts w:hint="default" w:cs="方正仿宋_GB2312"/>
          <w:kern w:val="2"/>
          <w:sz w:val="32"/>
          <w:szCs w:val="32"/>
          <w:lang w:val="en-US" w:eastAsia="zh-CN" w:bidi="ar-SA"/>
        </w:rPr>
      </w:pPr>
      <w:r>
        <w:rPr>
          <w:rFonts w:hint="default" w:cs="方正仿宋_GB2312"/>
          <w:b/>
          <w:bCs/>
          <w:kern w:val="2"/>
          <w:sz w:val="32"/>
          <w:szCs w:val="32"/>
          <w:lang w:val="en-US" w:eastAsia="zh-CN" w:bidi="ar-SA"/>
        </w:rPr>
        <w:t>数据库资源：基础服务获认可，知晓度可进一步提升</w:t>
      </w:r>
      <w:r>
        <w:rPr>
          <w:rFonts w:hint="eastAsia" w:cs="方正仿宋_GB2312"/>
          <w:b/>
          <w:bCs/>
          <w:kern w:val="2"/>
          <w:sz w:val="32"/>
          <w:szCs w:val="32"/>
          <w:lang w:val="en-US" w:eastAsia="zh-CN" w:bidi="ar-SA"/>
        </w:rPr>
        <w:t>。</w:t>
      </w:r>
      <w:r>
        <w:rPr>
          <w:rFonts w:hint="default" w:cs="方正仿宋_GB2312"/>
          <w:kern w:val="2"/>
          <w:sz w:val="32"/>
          <w:szCs w:val="32"/>
          <w:lang w:val="en-US" w:eastAsia="zh-CN" w:bidi="ar-SA"/>
        </w:rPr>
        <w:t>调研显示，近65%的读者认为现有数据库（如中国知网、万方、超星电子书等）能够“完全满足”或“基本满足”其学习与科研需要，印证了图书馆在核心数字资源布局上的有效性与覆盖面。与此同时，数据也反映出可优化方向</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资源知晓度有待深化</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约30%的读者表示“未使用过或不了解”，多集中于低年级与部分工程类专业学生，</w:t>
      </w:r>
      <w:r>
        <w:rPr>
          <w:rFonts w:hint="eastAsia" w:cs="方正仿宋_GB2312"/>
          <w:kern w:val="2"/>
          <w:sz w:val="32"/>
          <w:szCs w:val="32"/>
          <w:lang w:val="en-US" w:eastAsia="zh-CN" w:bidi="ar-SA"/>
        </w:rPr>
        <w:t>说明图书馆</w:t>
      </w:r>
      <w:r>
        <w:rPr>
          <w:rFonts w:hint="default" w:cs="方正仿宋_GB2312"/>
          <w:kern w:val="2"/>
          <w:sz w:val="32"/>
          <w:szCs w:val="32"/>
          <w:lang w:val="en-US" w:eastAsia="zh-CN" w:bidi="ar-SA"/>
        </w:rPr>
        <w:t>在日常推介与信息素养嵌入方面仍有提升空间。</w:t>
      </w:r>
    </w:p>
    <w:p w14:paraId="73FA7EED">
      <w:pPr>
        <w:pStyle w:val="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left="0" w:leftChars="0" w:right="0" w:firstLine="643" w:firstLineChars="200"/>
        <w:textAlignment w:val="auto"/>
        <w:rPr>
          <w:rFonts w:hint="eastAsia" w:cs="方正仿宋_GB2312"/>
          <w:kern w:val="2"/>
          <w:sz w:val="32"/>
          <w:szCs w:val="32"/>
          <w:lang w:val="en-US" w:eastAsia="zh-CN" w:bidi="ar-SA"/>
        </w:rPr>
      </w:pPr>
      <w:r>
        <w:rPr>
          <w:rFonts w:hint="default" w:cs="方正仿宋_GB2312"/>
          <w:b/>
          <w:bCs/>
          <w:kern w:val="2"/>
          <w:sz w:val="32"/>
          <w:szCs w:val="32"/>
          <w:lang w:val="en-US" w:eastAsia="zh-CN" w:bidi="ar-SA"/>
        </w:rPr>
        <w:t>馆藏资源评价：整体架构获肯定，精准化与时效性成为下一阶段重点</w:t>
      </w:r>
      <w:r>
        <w:rPr>
          <w:rFonts w:hint="eastAsia" w:cs="方正仿宋_GB2312"/>
          <w:b/>
          <w:bCs/>
          <w:kern w:val="2"/>
          <w:sz w:val="32"/>
          <w:szCs w:val="32"/>
          <w:lang w:val="en-US" w:eastAsia="zh-CN" w:bidi="ar-SA"/>
        </w:rPr>
        <w:t>。</w:t>
      </w:r>
      <w:r>
        <w:rPr>
          <w:rFonts w:hint="default" w:cs="方正仿宋_GB2312"/>
          <w:kern w:val="2"/>
          <w:sz w:val="32"/>
          <w:szCs w:val="32"/>
          <w:lang w:val="en-US" w:eastAsia="zh-CN" w:bidi="ar-SA"/>
        </w:rPr>
        <w:t>多数读者对馆藏资源表示“满意”或“基本够用”，尤其对图书馆在纸电资源协同、专业主流通识图书保障方面的工作给予积极评价。读者建议主要集中在</w:t>
      </w:r>
      <w:r>
        <w:rPr>
          <w:rFonts w:hint="eastAsia" w:cs="方正仿宋_GB2312"/>
          <w:kern w:val="2"/>
          <w:sz w:val="32"/>
          <w:szCs w:val="32"/>
          <w:lang w:val="en-US" w:eastAsia="zh-CN" w:bidi="ar-SA"/>
        </w:rPr>
        <w:t>两个</w:t>
      </w:r>
      <w:r>
        <w:rPr>
          <w:rFonts w:hint="default" w:cs="方正仿宋_GB2312"/>
          <w:kern w:val="2"/>
          <w:sz w:val="32"/>
          <w:szCs w:val="32"/>
          <w:lang w:val="en-US" w:eastAsia="zh-CN" w:bidi="ar-SA"/>
        </w:rPr>
        <w:t>方面，可视为馆藏体系持续优化的关键切入点</w:t>
      </w:r>
      <w:r>
        <w:rPr>
          <w:rFonts w:hint="eastAsia" w:cs="方正仿宋_GB2312"/>
          <w:kern w:val="2"/>
          <w:sz w:val="32"/>
          <w:szCs w:val="32"/>
          <w:lang w:val="en-US" w:eastAsia="zh-CN" w:bidi="ar-SA"/>
        </w:rPr>
        <w:t>。一是</w:t>
      </w:r>
      <w:r>
        <w:rPr>
          <w:rFonts w:hint="default" w:cs="方正仿宋_GB2312"/>
          <w:kern w:val="2"/>
          <w:sz w:val="32"/>
          <w:szCs w:val="32"/>
          <w:lang w:val="en-US" w:eastAsia="zh-CN" w:bidi="ar-SA"/>
        </w:rPr>
        <w:t>专业图书时效性</w:t>
      </w:r>
      <w:r>
        <w:rPr>
          <w:rFonts w:hint="eastAsia" w:cs="方正仿宋_GB2312"/>
          <w:kern w:val="2"/>
          <w:sz w:val="32"/>
          <w:szCs w:val="32"/>
          <w:lang w:val="en-US" w:eastAsia="zh-CN" w:bidi="ar-SA"/>
        </w:rPr>
        <w:t>需及时</w:t>
      </w:r>
      <w:r>
        <w:rPr>
          <w:rFonts w:hint="default" w:cs="方正仿宋_GB2312"/>
          <w:kern w:val="2"/>
          <w:sz w:val="32"/>
          <w:szCs w:val="32"/>
          <w:lang w:val="en-US" w:eastAsia="zh-CN" w:bidi="ar-SA"/>
        </w:rPr>
        <w:t>更新</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部分工科类教材与专著版本相对陈旧，</w:t>
      </w:r>
      <w:r>
        <w:rPr>
          <w:rFonts w:hint="eastAsia" w:cs="方正仿宋_GB2312"/>
          <w:kern w:val="2"/>
          <w:sz w:val="32"/>
          <w:szCs w:val="32"/>
          <w:lang w:val="en-US" w:eastAsia="zh-CN" w:bidi="ar-SA"/>
        </w:rPr>
        <w:t>存在更新空间；二是要积极拓展</w:t>
      </w:r>
      <w:r>
        <w:rPr>
          <w:rFonts w:hint="default" w:cs="方正仿宋_GB2312"/>
          <w:kern w:val="2"/>
          <w:sz w:val="32"/>
          <w:szCs w:val="32"/>
          <w:lang w:val="en-US" w:eastAsia="zh-CN" w:bidi="ar-SA"/>
        </w:rPr>
        <w:t>人文阅读资源</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心理学、职业发展、创新创业类图书需求显著，读者期待馆藏结构更趋多元</w:t>
      </w:r>
      <w:r>
        <w:rPr>
          <w:rFonts w:hint="eastAsia" w:cs="方正仿宋_GB2312"/>
          <w:kern w:val="2"/>
          <w:sz w:val="32"/>
          <w:szCs w:val="32"/>
          <w:lang w:val="en-US" w:eastAsia="zh-CN" w:bidi="ar-SA"/>
        </w:rPr>
        <w:t>。</w:t>
      </w:r>
    </w:p>
    <w:p w14:paraId="1DE8F625">
      <w:pPr>
        <w:pStyle w:val="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left="0" w:leftChars="0" w:right="0" w:firstLine="643" w:firstLineChars="200"/>
        <w:textAlignment w:val="auto"/>
        <w:rPr>
          <w:rFonts w:hint="default" w:cs="方正仿宋_GB2312"/>
          <w:kern w:val="2"/>
          <w:sz w:val="32"/>
          <w:szCs w:val="32"/>
          <w:lang w:val="en-US" w:eastAsia="zh-CN" w:bidi="ar-SA"/>
        </w:rPr>
      </w:pPr>
      <w:r>
        <w:rPr>
          <w:rFonts w:hint="default" w:cs="方正仿宋_GB2312"/>
          <w:b/>
          <w:bCs/>
          <w:kern w:val="2"/>
          <w:sz w:val="32"/>
          <w:szCs w:val="32"/>
          <w:lang w:val="en-US" w:eastAsia="zh-CN" w:bidi="ar-SA"/>
        </w:rPr>
        <w:t>资源获取体验：主流渠道畅通，精细化服务与系统交互可进一步增强</w:t>
      </w:r>
      <w:r>
        <w:rPr>
          <w:rFonts w:hint="eastAsia" w:cs="方正仿宋_GB2312"/>
          <w:b/>
          <w:bCs/>
          <w:kern w:val="2"/>
          <w:sz w:val="32"/>
          <w:szCs w:val="32"/>
          <w:lang w:val="en-US" w:eastAsia="zh-CN" w:bidi="ar-SA"/>
        </w:rPr>
        <w:t>。</w:t>
      </w:r>
      <w:r>
        <w:rPr>
          <w:rFonts w:hint="default" w:cs="方正仿宋_GB2312"/>
          <w:kern w:val="2"/>
          <w:sz w:val="32"/>
          <w:szCs w:val="32"/>
          <w:lang w:val="en-US" w:eastAsia="zh-CN" w:bidi="ar-SA"/>
        </w:rPr>
        <w:t>调研中，绝大多数读者肯定图书馆在图书借阅、电子资源访问等基础服务上的可靠性。与此同时，部分读者在资源查找与使用效率方面提出更高要求，</w:t>
      </w:r>
      <w:r>
        <w:rPr>
          <w:rFonts w:hint="eastAsia" w:cs="方正仿宋_GB2312"/>
          <w:kern w:val="2"/>
          <w:sz w:val="32"/>
          <w:szCs w:val="32"/>
          <w:lang w:val="en-US" w:eastAsia="zh-CN" w:bidi="ar-SA"/>
        </w:rPr>
        <w:t>图书馆应从以下两个方面做出改进：一是</w:t>
      </w:r>
      <w:r>
        <w:rPr>
          <w:rFonts w:hint="default" w:cs="方正仿宋_GB2312"/>
          <w:kern w:val="2"/>
          <w:sz w:val="32"/>
          <w:szCs w:val="32"/>
          <w:lang w:val="en-US" w:eastAsia="zh-CN" w:bidi="ar-SA"/>
        </w:rPr>
        <w:t>检索体验</w:t>
      </w:r>
      <w:r>
        <w:rPr>
          <w:rFonts w:hint="eastAsia" w:cs="方正仿宋_GB2312"/>
          <w:kern w:val="2"/>
          <w:sz w:val="32"/>
          <w:szCs w:val="32"/>
          <w:lang w:val="en-US" w:eastAsia="zh-CN" w:bidi="ar-SA"/>
        </w:rPr>
        <w:t>需进一步</w:t>
      </w:r>
      <w:r>
        <w:rPr>
          <w:rFonts w:hint="default" w:cs="方正仿宋_GB2312"/>
          <w:kern w:val="2"/>
          <w:sz w:val="32"/>
          <w:szCs w:val="32"/>
          <w:lang w:val="en-US" w:eastAsia="zh-CN" w:bidi="ar-SA"/>
        </w:rPr>
        <w:t>优化</w:t>
      </w:r>
      <w:r>
        <w:rPr>
          <w:rFonts w:hint="eastAsia" w:cs="方正仿宋_GB2312"/>
          <w:kern w:val="2"/>
          <w:sz w:val="32"/>
          <w:szCs w:val="32"/>
          <w:lang w:val="en-US" w:eastAsia="zh-CN" w:bidi="ar-SA"/>
        </w:rPr>
        <w:t>，部分</w:t>
      </w:r>
      <w:r>
        <w:rPr>
          <w:rFonts w:hint="default" w:cs="方正仿宋_GB2312"/>
          <w:kern w:val="2"/>
          <w:sz w:val="32"/>
          <w:szCs w:val="32"/>
          <w:lang w:val="en-US" w:eastAsia="zh-CN" w:bidi="ar-SA"/>
        </w:rPr>
        <w:t>读者反映“找书不易”，跨平台检索与资源定位功能可进一步简化与整合</w:t>
      </w:r>
      <w:r>
        <w:rPr>
          <w:rFonts w:hint="eastAsia" w:cs="方正仿宋_GB2312"/>
          <w:kern w:val="2"/>
          <w:sz w:val="32"/>
          <w:szCs w:val="32"/>
          <w:lang w:val="en-US" w:eastAsia="zh-CN" w:bidi="ar-SA"/>
        </w:rPr>
        <w:t>；二是</w:t>
      </w:r>
      <w:r>
        <w:rPr>
          <w:rFonts w:hint="default" w:cs="方正仿宋_GB2312"/>
          <w:kern w:val="2"/>
          <w:sz w:val="32"/>
          <w:szCs w:val="32"/>
          <w:lang w:val="en-US" w:eastAsia="zh-CN" w:bidi="ar-SA"/>
        </w:rPr>
        <w:t>信息素养</w:t>
      </w:r>
      <w:r>
        <w:rPr>
          <w:rFonts w:hint="eastAsia" w:cs="方正仿宋_GB2312"/>
          <w:kern w:val="2"/>
          <w:sz w:val="32"/>
          <w:szCs w:val="32"/>
          <w:lang w:val="en-US" w:eastAsia="zh-CN" w:bidi="ar-SA"/>
        </w:rPr>
        <w:t>教育需持续</w:t>
      </w:r>
      <w:r>
        <w:rPr>
          <w:rFonts w:hint="default" w:cs="方正仿宋_GB2312"/>
          <w:kern w:val="2"/>
          <w:sz w:val="32"/>
          <w:szCs w:val="32"/>
          <w:lang w:val="en-US" w:eastAsia="zh-CN" w:bidi="ar-SA"/>
        </w:rPr>
        <w:t>深化</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约30%的读者表示“不熟悉数据库使用”，说明在检索技能培训与实时指导方面仍有提升空间</w:t>
      </w:r>
      <w:r>
        <w:rPr>
          <w:rFonts w:hint="eastAsia" w:cs="方正仿宋_GB2312"/>
          <w:kern w:val="2"/>
          <w:sz w:val="32"/>
          <w:szCs w:val="32"/>
          <w:lang w:val="en-US" w:eastAsia="zh-CN" w:bidi="ar-SA"/>
        </w:rPr>
        <w:t>。</w:t>
      </w:r>
    </w:p>
    <w:p w14:paraId="6C2824DD">
      <w:pPr>
        <w:pStyle w:val="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left="0" w:leftChars="0" w:right="0" w:firstLine="643" w:firstLineChars="200"/>
        <w:textAlignment w:val="auto"/>
        <w:rPr>
          <w:rFonts w:hint="default" w:cs="方正仿宋_GB2312"/>
          <w:kern w:val="2"/>
          <w:sz w:val="32"/>
          <w:szCs w:val="32"/>
          <w:lang w:val="en-US" w:eastAsia="zh-CN" w:bidi="ar-SA"/>
        </w:rPr>
      </w:pPr>
      <w:r>
        <w:rPr>
          <w:rFonts w:hint="default" w:cs="方正仿宋_GB2312"/>
          <w:b/>
          <w:bCs/>
          <w:kern w:val="2"/>
          <w:sz w:val="32"/>
          <w:szCs w:val="32"/>
          <w:lang w:val="en-US" w:eastAsia="zh-CN" w:bidi="ar-SA"/>
        </w:rPr>
        <w:t>读者开放建议：从功能满足到体验认同，彰显图书馆作为“学习中心”的成长空间</w:t>
      </w:r>
      <w:r>
        <w:rPr>
          <w:rFonts w:hint="eastAsia" w:cs="方正仿宋_GB2312"/>
          <w:b/>
          <w:bCs/>
          <w:kern w:val="2"/>
          <w:sz w:val="32"/>
          <w:szCs w:val="32"/>
          <w:lang w:val="en-US" w:eastAsia="zh-CN" w:bidi="ar-SA"/>
        </w:rPr>
        <w:t>。</w:t>
      </w:r>
      <w:r>
        <w:rPr>
          <w:rFonts w:hint="default" w:cs="方正仿宋_GB2312"/>
          <w:kern w:val="2"/>
          <w:sz w:val="32"/>
          <w:szCs w:val="32"/>
          <w:lang w:val="en-US" w:eastAsia="zh-CN" w:bidi="ar-SA"/>
        </w:rPr>
        <w:t>在开放建议中，读者不仅关注资源本身，也对图书馆的空间功能、服务互动与管理响应提出了多元期待，如延长开放时间、增加自习空间、举办读书活动、加快新书流通等。这些建议反映出读者对图书馆的角色认知已从“资源仓库”转向“学习支持中心与知识共享空间”，体现出图书馆服务影响力的深化与读者参与感的提升。</w:t>
      </w:r>
    </w:p>
    <w:p w14:paraId="4A117A22">
      <w:pPr>
        <w:pStyle w:val="3"/>
        <w:bidi w:val="0"/>
        <w:rPr>
          <w:rFonts w:hint="default"/>
          <w:lang w:val="en-US" w:eastAsia="zh-CN"/>
        </w:rPr>
      </w:pPr>
      <w:bookmarkStart w:id="11" w:name="_Toc25180"/>
      <w:r>
        <w:rPr>
          <w:rFonts w:hint="default"/>
          <w:lang w:val="en-US" w:eastAsia="zh-CN"/>
        </w:rPr>
        <w:t>五、</w:t>
      </w:r>
      <w:r>
        <w:rPr>
          <w:rFonts w:hint="eastAsia"/>
          <w:lang w:val="en-US" w:eastAsia="zh-CN"/>
        </w:rPr>
        <w:t>环境</w:t>
      </w:r>
      <w:r>
        <w:rPr>
          <w:rFonts w:hint="default"/>
          <w:lang w:val="en-US" w:eastAsia="zh-CN"/>
        </w:rPr>
        <w:t>空间改造</w:t>
      </w:r>
      <w:bookmarkEnd w:id="11"/>
    </w:p>
    <w:p w14:paraId="7932356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本年度，图书馆紧密围绕学校发展布局与师生需求变化，系统性推进各校区空间功能优化与文化内涵提升，逐步构建起布局合理、功能互补、服务协同、文化浸润的现代化图书馆空间体系。</w:t>
      </w:r>
    </w:p>
    <w:p w14:paraId="0E1C3AAD">
      <w:pPr>
        <w:pStyle w:val="4"/>
        <w:bidi w:val="0"/>
        <w:ind w:firstLine="640" w:firstLineChars="200"/>
        <w:rPr>
          <w:rFonts w:hint="default" w:ascii="宋体" w:hAnsi="宋体"/>
          <w:lang w:val="en-US" w:eastAsia="zh-CN"/>
        </w:rPr>
      </w:pPr>
      <w:bookmarkStart w:id="12" w:name="_Toc5728"/>
      <w:r>
        <w:rPr>
          <w:rFonts w:hint="default" w:ascii="宋体" w:hAnsi="宋体"/>
          <w:lang w:val="en-US" w:eastAsia="zh-CN"/>
        </w:rPr>
        <w:t>（一）空间布局与功能拓展</w:t>
      </w:r>
      <w:bookmarkEnd w:id="12"/>
    </w:p>
    <w:p w14:paraId="5CC9BFD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为适应学校多校区办学格局，本年度重点完成了高新东区图书馆的阶段性建设与开放。首期开放的书库配备图书4万余册，232座阅览室每日开放13.5小时，显著拓展了该校区的学习资源供给。</w:t>
      </w:r>
      <w:r>
        <w:rPr>
          <w:rFonts w:hint="eastAsia" w:cs="方正仿宋_GB2312"/>
          <w:kern w:val="2"/>
          <w:sz w:val="32"/>
          <w:szCs w:val="32"/>
          <w:lang w:val="en-US" w:eastAsia="zh-CN" w:bidi="ar-SA"/>
        </w:rPr>
        <w:t>与此同时</w:t>
      </w:r>
      <w:r>
        <w:rPr>
          <w:rFonts w:hint="default" w:cs="方正仿宋_GB2312"/>
          <w:kern w:val="2"/>
          <w:sz w:val="32"/>
          <w:szCs w:val="32"/>
          <w:lang w:val="en-US" w:eastAsia="zh-CN" w:bidi="ar-SA"/>
        </w:rPr>
        <w:t>，实现了沁园校区、高新西区与东区三地图书的“通借通还”，打破了地理空间的限制，初步构建起一体化服务体系。</w:t>
      </w:r>
    </w:p>
    <w:p w14:paraId="4FF678A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目前，</w:t>
      </w:r>
      <w:r>
        <w:rPr>
          <w:rFonts w:hint="eastAsia" w:cs="方正仿宋_GB2312"/>
          <w:kern w:val="2"/>
          <w:sz w:val="32"/>
          <w:szCs w:val="32"/>
          <w:lang w:val="en-US" w:eastAsia="zh-CN" w:bidi="ar-SA"/>
        </w:rPr>
        <w:t>高新东区</w:t>
      </w:r>
      <w:r>
        <w:rPr>
          <w:rFonts w:hint="default" w:cs="方正仿宋_GB2312"/>
          <w:kern w:val="2"/>
          <w:sz w:val="32"/>
          <w:szCs w:val="32"/>
          <w:lang w:val="en-US" w:eastAsia="zh-CN" w:bidi="ar-SA"/>
        </w:rPr>
        <w:t>一楼大厅、报告厅及二楼阅览室的设备采购与建设项目已进入实施阶段，预计将为东区新增藏书约5万册、阅览座位近300个，将</w:t>
      </w:r>
      <w:r>
        <w:rPr>
          <w:rFonts w:hint="eastAsia" w:cs="方正仿宋_GB2312"/>
          <w:kern w:val="2"/>
          <w:sz w:val="32"/>
          <w:szCs w:val="32"/>
          <w:lang w:val="en-US" w:eastAsia="zh-CN" w:bidi="ar-SA"/>
        </w:rPr>
        <w:t>在一定程度</w:t>
      </w:r>
      <w:r>
        <w:rPr>
          <w:rFonts w:hint="default" w:cs="方正仿宋_GB2312"/>
          <w:kern w:val="2"/>
          <w:sz w:val="32"/>
          <w:szCs w:val="32"/>
          <w:lang w:val="en-US" w:eastAsia="zh-CN" w:bidi="ar-SA"/>
        </w:rPr>
        <w:t>上缓解学生的学习资源与空间需求压力。同时，沁园校区图书馆通过系统性改造升级，完成了中央空调更换、消防设施整体更新、监控广播系统安装以及阅览桌椅维修翻新，显著提升了基础设施的安全性、舒适性与现代化水平。特别规划建设的“济图文化工坊”，为师生</w:t>
      </w:r>
      <w:r>
        <w:rPr>
          <w:rFonts w:hint="eastAsia" w:cs="方正仿宋_GB2312"/>
          <w:kern w:val="2"/>
          <w:sz w:val="32"/>
          <w:szCs w:val="32"/>
          <w:lang w:val="en-US" w:eastAsia="zh-CN" w:bidi="ar-SA"/>
        </w:rPr>
        <w:t>及市民读者</w:t>
      </w:r>
      <w:r>
        <w:rPr>
          <w:rFonts w:hint="default" w:cs="方正仿宋_GB2312"/>
          <w:kern w:val="2"/>
          <w:sz w:val="32"/>
          <w:szCs w:val="32"/>
          <w:lang w:val="en-US" w:eastAsia="zh-CN" w:bidi="ar-SA"/>
        </w:rPr>
        <w:t>开展学术交流、文化创意活动提供了专属空间。</w:t>
      </w:r>
    </w:p>
    <w:p w14:paraId="056F2AD3">
      <w:pPr>
        <w:pStyle w:val="4"/>
        <w:bidi w:val="0"/>
        <w:ind w:firstLine="640" w:firstLineChars="200"/>
        <w:rPr>
          <w:rFonts w:hint="default"/>
          <w:lang w:val="en-US" w:eastAsia="zh-CN"/>
        </w:rPr>
      </w:pPr>
      <w:bookmarkStart w:id="13" w:name="_Toc28167"/>
      <w:r>
        <w:rPr>
          <w:rFonts w:hint="default"/>
          <w:lang w:val="en-US" w:eastAsia="zh-CN"/>
        </w:rPr>
        <w:t>（</w:t>
      </w:r>
      <w:r>
        <w:rPr>
          <w:rFonts w:hint="eastAsia"/>
          <w:lang w:val="en-US" w:eastAsia="zh-CN"/>
        </w:rPr>
        <w:t>二</w:t>
      </w:r>
      <w:r>
        <w:rPr>
          <w:rFonts w:hint="default"/>
          <w:lang w:val="en-US" w:eastAsia="zh-CN"/>
        </w:rPr>
        <w:t>）文化内涵与育人功能</w:t>
      </w:r>
      <w:bookmarkEnd w:id="13"/>
    </w:p>
    <w:p w14:paraId="083F564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图书馆不仅是知识仓库，更是文化育人高地。本年度，我们系统推进了各校区文化氛围的主题化与体系化建设：</w:t>
      </w:r>
    </w:p>
    <w:p w14:paraId="335DFC2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在高新东区新馆，规划以“文明传承·书香致远”为轴线，分层打造文化展示体系。从一楼的济水文化与王屋山精神，到二楼的黄河文明与中华传承，再到三楼的文字演变与文化传播，直至四楼的书籍形态与图书馆发展，旨在将图书馆构建为融地域性、历史性、知识性于一体的校本文化新地标。在沁园与高新西区，则着重营造“工匠精神与学习文化”氛围，通过悬挂主题书画、名言警句，展陈优秀师生事迹，并定期举办各类作品展览，于无声处陶冶情操、涵养职业精神，构建可视化、互动性强的立体化育人空间。</w:t>
      </w:r>
    </w:p>
    <w:p w14:paraId="49F3B93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textAlignment w:val="auto"/>
        <w:rPr>
          <w:rFonts w:hint="default" w:cs="方正仿宋_GB2312"/>
          <w:kern w:val="2"/>
          <w:sz w:val="32"/>
          <w:szCs w:val="32"/>
          <w:lang w:val="en-US" w:eastAsia="zh-CN" w:bidi="ar-SA"/>
        </w:rPr>
      </w:pPr>
      <w:r>
        <w:rPr>
          <w:rFonts w:hint="eastAsia" w:cs="方正仿宋_GB2312"/>
          <w:kern w:val="2"/>
          <w:sz w:val="32"/>
          <w:szCs w:val="32"/>
          <w:lang w:val="en-US" w:eastAsia="zh-CN" w:bidi="ar-SA"/>
        </w:rPr>
        <w:t xml:space="preserve">   </w:t>
      </w:r>
      <w:r>
        <w:rPr>
          <w:rFonts w:hint="default" w:cs="方正仿宋_GB2312"/>
          <w:kern w:val="2"/>
          <w:sz w:val="32"/>
          <w:szCs w:val="32"/>
          <w:lang w:val="en-US" w:eastAsia="zh-CN" w:bidi="ar-SA"/>
        </w:rPr>
        <w:t>空间硬件的升级与文化软环境的植入并行，既满足了基础功能需求，也提升了空间的教育价值与人文魅力，为图书馆下一步深化知识服务、支撑学科建设、融入人才培养全过程奠定了坚实的物理基础与环境支撑。</w:t>
      </w:r>
    </w:p>
    <w:p w14:paraId="40A9F130">
      <w:pPr>
        <w:pStyle w:val="3"/>
        <w:bidi w:val="0"/>
        <w:rPr>
          <w:rFonts w:hint="default"/>
          <w:lang w:val="en-US" w:eastAsia="zh-CN"/>
        </w:rPr>
      </w:pPr>
      <w:bookmarkStart w:id="14" w:name="_Toc19500"/>
      <w:r>
        <w:rPr>
          <w:rFonts w:hint="eastAsia"/>
          <w:lang w:val="en-US" w:eastAsia="zh-CN"/>
        </w:rPr>
        <w:t>六</w:t>
      </w:r>
      <w:r>
        <w:rPr>
          <w:rFonts w:hint="default"/>
          <w:lang w:val="en-US" w:eastAsia="zh-CN"/>
        </w:rPr>
        <w:t>、 队伍建设与管理</w:t>
      </w:r>
      <w:r>
        <w:rPr>
          <w:rFonts w:hint="eastAsia"/>
          <w:lang w:val="en-US" w:eastAsia="zh-CN"/>
        </w:rPr>
        <w:t>制度建设</w:t>
      </w:r>
      <w:bookmarkEnd w:id="14"/>
    </w:p>
    <w:p w14:paraId="1DF6962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本年度，图书馆以“强化专业内核，筑牢安全根基”为双重导向，系统推进馆员队伍能力提升与内部管理制度化建设，为服务升级与平稳运行提供了坚实的人才支撑与制度保障。</w:t>
      </w:r>
    </w:p>
    <w:p w14:paraId="7D62E561">
      <w:pPr>
        <w:pStyle w:val="4"/>
        <w:bidi w:val="0"/>
        <w:ind w:firstLine="640" w:firstLineChars="200"/>
        <w:rPr>
          <w:rFonts w:hint="default" w:ascii="宋体" w:hAnsi="宋体"/>
          <w:lang w:val="en-US" w:eastAsia="zh-CN"/>
        </w:rPr>
      </w:pPr>
      <w:bookmarkStart w:id="15" w:name="_Toc483"/>
      <w:r>
        <w:rPr>
          <w:rFonts w:hint="default"/>
          <w:lang w:val="en-US" w:eastAsia="zh-CN"/>
        </w:rPr>
        <w:t>（一）馆员队伍建设：</w:t>
      </w:r>
      <w:r>
        <w:rPr>
          <w:rFonts w:hint="default" w:ascii="宋体" w:hAnsi="宋体"/>
          <w:lang w:val="en-US" w:eastAsia="zh-CN"/>
        </w:rPr>
        <w:t>专业精进与团队赋能</w:t>
      </w:r>
      <w:bookmarkEnd w:id="15"/>
    </w:p>
    <w:p w14:paraId="524A80A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搭建交流平台，凝聚团队智慧</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持续举办图书馆“新愚公”微论坛活动，全年开展14期。馆员们结合工作实际，分享经验、交流思想，在观点碰撞中激发了工作创新灵感，强化了团队的专业认同与凝聚力。</w:t>
      </w:r>
    </w:p>
    <w:p w14:paraId="23034580">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实施精准培训，锤炼业务技能</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系统实施“馆员能力提升工程”，先后组织了“图书布局与陈列”专题培训与技能大赛、“新媒体运用培训”以及“书香润心 礼行致远”服务礼仪培训。这一系列培训与竞赛活动，从资源管理、宣传推广到一线服务，全方位提升了馆员的实操能力与现代服务素养。</w:t>
      </w:r>
    </w:p>
    <w:p w14:paraId="70CB9AA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鼓励学术科研，提升专业层次</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积极营造学术氛围，鼓励馆员深入开展业务研究与实践创新。本年度，馆员共发表学术论文2篇，参编专著1部，获得软件著作权4项；完成纵向课题结项</w:t>
      </w:r>
      <w:r>
        <w:rPr>
          <w:rFonts w:hint="eastAsia" w:cs="方正仿宋_GB2312"/>
          <w:kern w:val="2"/>
          <w:sz w:val="32"/>
          <w:szCs w:val="32"/>
          <w:lang w:val="en-US" w:eastAsia="zh-CN" w:bidi="ar-SA"/>
        </w:rPr>
        <w:t>1</w:t>
      </w:r>
      <w:r>
        <w:rPr>
          <w:rFonts w:hint="default" w:cs="方正仿宋_GB2312"/>
          <w:kern w:val="2"/>
          <w:sz w:val="32"/>
          <w:szCs w:val="32"/>
          <w:lang w:val="en-US" w:eastAsia="zh-CN" w:bidi="ar-SA"/>
        </w:rPr>
        <w:t>项，新立项</w:t>
      </w:r>
      <w:r>
        <w:rPr>
          <w:rFonts w:hint="eastAsia" w:cs="方正仿宋_GB2312"/>
          <w:kern w:val="2"/>
          <w:sz w:val="32"/>
          <w:szCs w:val="32"/>
          <w:lang w:val="en-US" w:eastAsia="zh-CN" w:bidi="ar-SA"/>
        </w:rPr>
        <w:t>2</w:t>
      </w:r>
      <w:r>
        <w:rPr>
          <w:rFonts w:hint="default" w:cs="方正仿宋_GB2312"/>
          <w:kern w:val="2"/>
          <w:sz w:val="32"/>
          <w:szCs w:val="32"/>
          <w:lang w:val="en-US" w:eastAsia="zh-CN" w:bidi="ar-SA"/>
        </w:rPr>
        <w:t>项。这些成果标志着馆员队伍正从事务操作向研究型服务稳步转型。</w:t>
      </w:r>
    </w:p>
    <w:p w14:paraId="49B8DB52">
      <w:pPr>
        <w:pStyle w:val="4"/>
        <w:bidi w:val="0"/>
        <w:ind w:firstLine="640" w:firstLineChars="200"/>
        <w:rPr>
          <w:rFonts w:hint="default"/>
          <w:lang w:val="en-US" w:eastAsia="zh-CN"/>
        </w:rPr>
      </w:pPr>
      <w:bookmarkStart w:id="16" w:name="_Toc12799"/>
      <w:r>
        <w:rPr>
          <w:rFonts w:hint="default"/>
          <w:lang w:val="en-US" w:eastAsia="zh-CN"/>
        </w:rPr>
        <w:t>（二）管理制度建设</w:t>
      </w:r>
      <w:r>
        <w:rPr>
          <w:rFonts w:hint="default" w:ascii="宋体" w:hAnsi="宋体"/>
          <w:lang w:val="en-US" w:eastAsia="zh-CN"/>
        </w:rPr>
        <w:t>：制度夯实与安全护航</w:t>
      </w:r>
      <w:bookmarkEnd w:id="16"/>
    </w:p>
    <w:p w14:paraId="551F9AE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完善制度体系，规范业务流程</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对图书馆现有规章制度与业务规范进行了全面梳理与修订，细化了各项安全管理规定，并系统制定了包括消防、资源应急处置在内的各类应急预案，使各项工作有章可循、有案可依。</w:t>
      </w:r>
    </w:p>
    <w:p w14:paraId="09BC9B4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筑牢安全防线，压实主体责任</w:t>
      </w:r>
      <w:r>
        <w:rPr>
          <w:rFonts w:hint="eastAsia" w:cs="方正仿宋_GB2312"/>
          <w:kern w:val="2"/>
          <w:sz w:val="32"/>
          <w:szCs w:val="32"/>
          <w:lang w:val="en-US" w:eastAsia="zh-CN" w:bidi="ar-SA"/>
        </w:rPr>
        <w:t>。</w:t>
      </w:r>
      <w:r>
        <w:rPr>
          <w:rFonts w:hint="default" w:cs="方正仿宋_GB2312"/>
          <w:kern w:val="2"/>
          <w:sz w:val="32"/>
          <w:szCs w:val="32"/>
          <w:lang w:val="en-US" w:eastAsia="zh-CN" w:bidi="ar-SA"/>
        </w:rPr>
        <w:t>建立安全工作检查台账，创新推行“馆员自查、部门检查、馆内抽查”的三级巡检制度，将安全责任层层分解、落实到人。通过定期开展消防安全培训、应急疏散演练及消防器材实操，并在重要节假日前夕开展安全大检查，实现了安全管理的常态化与精细化。全年未发生安全责任事故，为师生营造了稳定可靠的阅读学习环境。</w:t>
      </w:r>
    </w:p>
    <w:p w14:paraId="1CA9F2C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default" w:cs="方正仿宋_GB2312"/>
          <w:kern w:val="2"/>
          <w:sz w:val="32"/>
          <w:szCs w:val="32"/>
          <w:lang w:val="en-US" w:eastAsia="zh-CN" w:bidi="ar-SA"/>
        </w:rPr>
      </w:pPr>
      <w:r>
        <w:rPr>
          <w:rFonts w:hint="default" w:cs="方正仿宋_GB2312"/>
          <w:kern w:val="2"/>
          <w:sz w:val="32"/>
          <w:szCs w:val="32"/>
          <w:lang w:val="en-US" w:eastAsia="zh-CN" w:bidi="ar-SA"/>
        </w:rPr>
        <w:t>总结而言，本年度通过队伍建设的“赋能”与管理制度“强基”双轮驱动，图书馆不仅提升了服务的专业品质与创新活力，更构建起规范、安全、高效的内控体系。人与制度的协同并进，共同构成了图书馆事业持续健康发展的坚实支撑。</w:t>
      </w:r>
    </w:p>
    <w:p w14:paraId="61744A0C">
      <w:pPr>
        <w:pStyle w:val="3"/>
        <w:bidi w:val="0"/>
        <w:rPr>
          <w:rFonts w:hint="eastAsia"/>
        </w:rPr>
      </w:pPr>
      <w:bookmarkStart w:id="17" w:name="_Toc10451"/>
      <w:r>
        <w:rPr>
          <w:rFonts w:hint="eastAsia"/>
          <w:lang w:val="en-US" w:eastAsia="zh-CN"/>
        </w:rPr>
        <w:t>七</w:t>
      </w:r>
      <w:r>
        <w:rPr>
          <w:rFonts w:hint="eastAsia"/>
        </w:rPr>
        <w:t>、 面临的挑战与未来展望</w:t>
      </w:r>
      <w:bookmarkEnd w:id="17"/>
    </w:p>
    <w:p w14:paraId="50B5B743">
      <w:pPr>
        <w:pStyle w:val="4"/>
        <w:bidi w:val="0"/>
        <w:ind w:firstLine="640" w:firstLineChars="200"/>
        <w:rPr>
          <w:rFonts w:hint="eastAsia"/>
          <w:lang w:val="en-US" w:eastAsia="zh-CN"/>
        </w:rPr>
      </w:pPr>
      <w:bookmarkStart w:id="18" w:name="_Toc32266"/>
      <w:r>
        <w:rPr>
          <w:rFonts w:hint="eastAsia"/>
          <w:lang w:val="en-US" w:eastAsia="zh-CN"/>
        </w:rPr>
        <w:t>（一）发展的挑战：在变革中寻求突破</w:t>
      </w:r>
      <w:bookmarkEnd w:id="18"/>
    </w:p>
    <w:p w14:paraId="179E6D56">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640" w:firstLineChars="200"/>
        <w:textAlignment w:val="auto"/>
        <w:rPr>
          <w:rFonts w:hint="eastAsia" w:ascii="方正仿宋_GB2312" w:hAnsi="方正仿宋_GB2312" w:eastAsia="方正仿宋_GB2312" w:cs="方正仿宋_GB2312"/>
          <w:b w:val="0"/>
          <w:bCs w:val="0"/>
          <w:i w:val="0"/>
          <w:iCs w:val="0"/>
          <w:caps w:val="0"/>
          <w:color w:val="0F1115"/>
          <w:spacing w:val="0"/>
          <w:kern w:val="2"/>
          <w:sz w:val="32"/>
          <w:szCs w:val="32"/>
          <w:shd w:val="clear" w:fill="FFFFFF"/>
          <w:lang w:val="en-US" w:eastAsia="zh-CN" w:bidi="ar-SA"/>
        </w:rPr>
      </w:pPr>
      <w:r>
        <w:rPr>
          <w:rFonts w:hint="eastAsia" w:ascii="方正仿宋_GB2312" w:hAnsi="方正仿宋_GB2312" w:eastAsia="方正仿宋_GB2312" w:cs="方正仿宋_GB2312"/>
          <w:b w:val="0"/>
          <w:bCs w:val="0"/>
          <w:i w:val="0"/>
          <w:iCs w:val="0"/>
          <w:caps w:val="0"/>
          <w:color w:val="0F1115"/>
          <w:spacing w:val="0"/>
          <w:kern w:val="2"/>
          <w:sz w:val="32"/>
          <w:szCs w:val="32"/>
          <w:shd w:val="clear" w:fill="FFFFFF"/>
          <w:lang w:val="en-US" w:eastAsia="zh-CN" w:bidi="ar-SA"/>
        </w:rPr>
        <w:t>站在新的发展起点，我们清醒认识到图书馆面临着三个维度的深层次挑战，这些挑战既源于外部环境的快速变化，也植根于内涵发展的内在要求：</w:t>
      </w:r>
    </w:p>
    <w:p w14:paraId="169CD55F">
      <w:pPr>
        <w:pStyle w:val="8"/>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beforeAutospacing="0" w:afterAutospacing="0"/>
        <w:ind w:left="-3" w:leftChars="0" w:right="0" w:rightChars="0" w:firstLine="643" w:firstLineChars="0"/>
        <w:textAlignment w:val="auto"/>
        <w:rPr>
          <w:rFonts w:hint="eastAsia" w:ascii="方正仿宋_GB2312" w:hAnsi="方正仿宋_GB2312" w:eastAsia="方正仿宋_GB2312" w:cs="方正仿宋_GB2312"/>
          <w:i w:val="0"/>
          <w:iCs w:val="0"/>
          <w:caps w:val="0"/>
          <w:color w:val="0F1115"/>
          <w:spacing w:val="0"/>
          <w:sz w:val="32"/>
          <w:szCs w:val="32"/>
          <w:shd w:val="clear" w:fill="FFFFFF"/>
        </w:rPr>
      </w:pPr>
      <w:r>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t>资源保障的结构性压力与精准化需求</w:t>
      </w:r>
      <w:r>
        <w:rPr>
          <w:rFonts w:hint="eastAsia" w:ascii="方正仿宋_GB2312" w:hAnsi="方正仿宋_GB2312" w:eastAsia="方正仿宋_GB2312" w:cs="方正仿宋_GB2312"/>
          <w:b w:val="0"/>
          <w:bCs w:val="0"/>
          <w:i w:val="0"/>
          <w:iCs w:val="0"/>
          <w:caps w:val="0"/>
          <w:color w:val="0F1115"/>
          <w:spacing w:val="0"/>
          <w:kern w:val="2"/>
          <w:sz w:val="32"/>
          <w:szCs w:val="32"/>
          <w:shd w:val="clear" w:fill="FFFFFF"/>
          <w:lang w:val="en-US" w:eastAsia="zh-CN" w:bidi="ar-SA"/>
        </w:rPr>
        <w:br w:type="textWrapping"/>
      </w:r>
      <w:r>
        <w:rPr>
          <w:rFonts w:hint="eastAsia" w:cs="方正仿宋_GB2312"/>
          <w:b w:val="0"/>
          <w:bCs w:val="0"/>
          <w:i w:val="0"/>
          <w:iCs w:val="0"/>
          <w:caps w:val="0"/>
          <w:color w:val="0F1115"/>
          <w:spacing w:val="0"/>
          <w:kern w:val="2"/>
          <w:sz w:val="32"/>
          <w:szCs w:val="32"/>
          <w:shd w:val="clear" w:fill="FFFFFF"/>
          <w:lang w:val="en-US" w:eastAsia="zh-CN" w:bidi="ar-SA"/>
        </w:rPr>
        <w:t xml:space="preserve">    </w:t>
      </w:r>
      <w:r>
        <w:rPr>
          <w:rFonts w:hint="eastAsia" w:ascii="方正仿宋_GB2312" w:hAnsi="方正仿宋_GB2312" w:eastAsia="方正仿宋_GB2312" w:cs="方正仿宋_GB2312"/>
          <w:b w:val="0"/>
          <w:bCs w:val="0"/>
          <w:i w:val="0"/>
          <w:iCs w:val="0"/>
          <w:caps w:val="0"/>
          <w:color w:val="0F1115"/>
          <w:spacing w:val="0"/>
          <w:kern w:val="2"/>
          <w:sz w:val="32"/>
          <w:szCs w:val="32"/>
          <w:shd w:val="clear" w:fill="FFFFFF"/>
          <w:lang w:val="en-US" w:eastAsia="zh-CN" w:bidi="ar-SA"/>
        </w:rPr>
        <w:t>随着学校</w:t>
      </w:r>
      <w:r>
        <w:rPr>
          <w:rFonts w:hint="eastAsia" w:cs="方正仿宋_GB2312"/>
          <w:b w:val="0"/>
          <w:bCs w:val="0"/>
          <w:i w:val="0"/>
          <w:iCs w:val="0"/>
          <w:caps w:val="0"/>
          <w:color w:val="0F1115"/>
          <w:spacing w:val="0"/>
          <w:kern w:val="2"/>
          <w:sz w:val="32"/>
          <w:szCs w:val="32"/>
          <w:shd w:val="clear" w:fill="FFFFFF"/>
          <w:lang w:val="en-US" w:eastAsia="zh-CN" w:bidi="ar-SA"/>
        </w:rPr>
        <w:t>“</w:t>
      </w:r>
      <w:r>
        <w:rPr>
          <w:rFonts w:hint="eastAsia" w:ascii="方正仿宋_GB2312" w:hAnsi="方正仿宋_GB2312" w:eastAsia="方正仿宋_GB2312" w:cs="方正仿宋_GB2312"/>
          <w:b w:val="0"/>
          <w:bCs w:val="0"/>
          <w:i w:val="0"/>
          <w:iCs w:val="0"/>
          <w:caps w:val="0"/>
          <w:color w:val="0F1115"/>
          <w:spacing w:val="0"/>
          <w:kern w:val="2"/>
          <w:sz w:val="32"/>
          <w:szCs w:val="32"/>
          <w:shd w:val="clear" w:fill="FFFFFF"/>
          <w:lang w:val="en-US" w:eastAsia="zh-CN" w:bidi="ar-SA"/>
        </w:rPr>
        <w:t>双高</w:t>
      </w:r>
      <w:r>
        <w:rPr>
          <w:rFonts w:hint="eastAsia" w:cs="方正仿宋_GB2312"/>
          <w:b w:val="0"/>
          <w:bCs w:val="0"/>
          <w:i w:val="0"/>
          <w:iCs w:val="0"/>
          <w:caps w:val="0"/>
          <w:color w:val="0F1115"/>
          <w:spacing w:val="0"/>
          <w:kern w:val="2"/>
          <w:sz w:val="32"/>
          <w:szCs w:val="32"/>
          <w:shd w:val="clear" w:fill="FFFFFF"/>
          <w:lang w:val="en-US" w:eastAsia="zh-CN" w:bidi="ar-SA"/>
        </w:rPr>
        <w:t>”</w:t>
      </w:r>
      <w:r>
        <w:rPr>
          <w:rFonts w:hint="eastAsia" w:ascii="方正仿宋_GB2312" w:hAnsi="方正仿宋_GB2312" w:eastAsia="方正仿宋_GB2312" w:cs="方正仿宋_GB2312"/>
          <w:b w:val="0"/>
          <w:bCs w:val="0"/>
          <w:i w:val="0"/>
          <w:iCs w:val="0"/>
          <w:caps w:val="0"/>
          <w:color w:val="0F1115"/>
          <w:spacing w:val="0"/>
          <w:kern w:val="2"/>
          <w:sz w:val="32"/>
          <w:szCs w:val="32"/>
          <w:shd w:val="clear" w:fill="FFFFFF"/>
          <w:lang w:val="en-US" w:eastAsia="zh-CN" w:bidi="ar-SA"/>
        </w:rPr>
        <w:t>建设的</w:t>
      </w:r>
      <w:r>
        <w:rPr>
          <w:rFonts w:hint="eastAsia" w:ascii="方正仿宋_GB2312" w:hAnsi="方正仿宋_GB2312" w:eastAsia="方正仿宋_GB2312" w:cs="方正仿宋_GB2312"/>
          <w:i w:val="0"/>
          <w:iCs w:val="0"/>
          <w:caps w:val="0"/>
          <w:color w:val="0F1115"/>
          <w:spacing w:val="0"/>
          <w:sz w:val="32"/>
          <w:szCs w:val="32"/>
          <w:shd w:val="clear" w:fill="FFFFFF"/>
        </w:rPr>
        <w:t>深入推进和办学规模的稳步扩大，师生对文献资源的需求呈现出</w:t>
      </w:r>
      <w:r>
        <w:rPr>
          <w:rStyle w:val="12"/>
          <w:rFonts w:hint="eastAsia" w:ascii="方正仿宋_GB2312" w:hAnsi="方正仿宋_GB2312" w:eastAsia="方正仿宋_GB2312" w:cs="方正仿宋_GB2312"/>
          <w:b w:val="0"/>
          <w:bCs w:val="0"/>
          <w:i w:val="0"/>
          <w:iCs w:val="0"/>
          <w:caps w:val="0"/>
          <w:color w:val="0F1115"/>
          <w:spacing w:val="0"/>
          <w:sz w:val="32"/>
          <w:szCs w:val="32"/>
          <w:shd w:val="clear" w:fill="FFFFFF"/>
        </w:rPr>
        <w:t>总量增长、结构多元、时效性强</w:t>
      </w:r>
      <w:r>
        <w:rPr>
          <w:rFonts w:hint="eastAsia" w:ascii="方正仿宋_GB2312" w:hAnsi="方正仿宋_GB2312" w:eastAsia="方正仿宋_GB2312" w:cs="方正仿宋_GB2312"/>
          <w:i w:val="0"/>
          <w:iCs w:val="0"/>
          <w:caps w:val="0"/>
          <w:color w:val="0F1115"/>
          <w:spacing w:val="0"/>
          <w:sz w:val="32"/>
          <w:szCs w:val="32"/>
          <w:shd w:val="clear" w:fill="FFFFFF"/>
        </w:rPr>
        <w:t>的新特征。当前，资源建设经费在保障基础馆藏扩容与高新校区空间建设的同时，面临双重压力：一方面，在</w:t>
      </w:r>
      <w:r>
        <w:rPr>
          <w:rStyle w:val="12"/>
          <w:rFonts w:hint="eastAsia" w:ascii="方正仿宋_GB2312" w:hAnsi="方正仿宋_GB2312" w:eastAsia="方正仿宋_GB2312" w:cs="方正仿宋_GB2312"/>
          <w:b w:val="0"/>
          <w:bCs w:val="0"/>
          <w:i w:val="0"/>
          <w:iCs w:val="0"/>
          <w:caps w:val="0"/>
          <w:color w:val="0F1115"/>
          <w:spacing w:val="0"/>
          <w:sz w:val="32"/>
          <w:szCs w:val="32"/>
          <w:shd w:val="clear" w:fill="FFFFFF"/>
        </w:rPr>
        <w:t>数字资源深度引进、特色数据库自主开发、知识服务能力建设</w:t>
      </w:r>
      <w:r>
        <w:rPr>
          <w:rFonts w:hint="eastAsia" w:ascii="方正仿宋_GB2312" w:hAnsi="方正仿宋_GB2312" w:eastAsia="方正仿宋_GB2312" w:cs="方正仿宋_GB2312"/>
          <w:i w:val="0"/>
          <w:iCs w:val="0"/>
          <w:caps w:val="0"/>
          <w:color w:val="0F1115"/>
          <w:spacing w:val="0"/>
          <w:sz w:val="32"/>
          <w:szCs w:val="32"/>
          <w:shd w:val="clear" w:fill="FFFFFF"/>
        </w:rPr>
        <w:t>等领域的投入占比仍显不足；另一方面，新馆建成后的智慧化系统运维、设备更新换代、数字资源持续订购等长期性投入存在预期缺口。经费使用效益评估体系亟待完善，需要建立更加科学的</w:t>
      </w:r>
      <w:r>
        <w:rPr>
          <w:rStyle w:val="12"/>
          <w:rFonts w:hint="eastAsia" w:ascii="方正仿宋_GB2312" w:hAnsi="方正仿宋_GB2312" w:eastAsia="方正仿宋_GB2312" w:cs="方正仿宋_GB2312"/>
          <w:b w:val="0"/>
          <w:bCs w:val="0"/>
          <w:i w:val="0"/>
          <w:iCs w:val="0"/>
          <w:caps w:val="0"/>
          <w:color w:val="0F1115"/>
          <w:spacing w:val="0"/>
          <w:sz w:val="32"/>
          <w:szCs w:val="32"/>
          <w:shd w:val="clear" w:fill="FFFFFF"/>
        </w:rPr>
        <w:t>资源投入-产出评价机制</w:t>
      </w:r>
      <w:r>
        <w:rPr>
          <w:rFonts w:hint="eastAsia" w:ascii="方正仿宋_GB2312" w:hAnsi="方正仿宋_GB2312" w:eastAsia="方正仿宋_GB2312" w:cs="方正仿宋_GB2312"/>
          <w:i w:val="0"/>
          <w:iCs w:val="0"/>
          <w:caps w:val="0"/>
          <w:color w:val="0F1115"/>
          <w:spacing w:val="0"/>
          <w:sz w:val="32"/>
          <w:szCs w:val="32"/>
          <w:shd w:val="clear" w:fill="FFFFFF"/>
        </w:rPr>
        <w:t>，实现从</w:t>
      </w:r>
      <w:r>
        <w:rPr>
          <w:rFonts w:hint="eastAsia" w:cs="方正仿宋_GB2312"/>
          <w:i w:val="0"/>
          <w:iCs w:val="0"/>
          <w:caps w:val="0"/>
          <w:color w:val="0F1115"/>
          <w:spacing w:val="0"/>
          <w:sz w:val="32"/>
          <w:szCs w:val="32"/>
          <w:shd w:val="clear" w:fill="FFFFFF"/>
          <w:lang w:eastAsia="zh-CN"/>
        </w:rPr>
        <w:t>“</w:t>
      </w:r>
      <w:r>
        <w:rPr>
          <w:rFonts w:hint="eastAsia" w:ascii="方正仿宋_GB2312" w:hAnsi="方正仿宋_GB2312" w:eastAsia="方正仿宋_GB2312" w:cs="方正仿宋_GB2312"/>
          <w:i w:val="0"/>
          <w:iCs w:val="0"/>
          <w:caps w:val="0"/>
          <w:color w:val="0F1115"/>
          <w:spacing w:val="0"/>
          <w:sz w:val="32"/>
          <w:szCs w:val="32"/>
          <w:shd w:val="clear" w:fill="FFFFFF"/>
        </w:rPr>
        <w:t>规模扩张</w:t>
      </w:r>
      <w:r>
        <w:rPr>
          <w:rFonts w:hint="eastAsia" w:cs="方正仿宋_GB2312"/>
          <w:i w:val="0"/>
          <w:iCs w:val="0"/>
          <w:caps w:val="0"/>
          <w:color w:val="0F1115"/>
          <w:spacing w:val="0"/>
          <w:sz w:val="32"/>
          <w:szCs w:val="32"/>
          <w:shd w:val="clear" w:fill="FFFFFF"/>
          <w:lang w:eastAsia="zh-CN"/>
        </w:rPr>
        <w:t>”</w:t>
      </w:r>
      <w:r>
        <w:rPr>
          <w:rFonts w:hint="eastAsia" w:ascii="方正仿宋_GB2312" w:hAnsi="方正仿宋_GB2312" w:eastAsia="方正仿宋_GB2312" w:cs="方正仿宋_GB2312"/>
          <w:i w:val="0"/>
          <w:iCs w:val="0"/>
          <w:caps w:val="0"/>
          <w:color w:val="0F1115"/>
          <w:spacing w:val="0"/>
          <w:sz w:val="32"/>
          <w:szCs w:val="32"/>
          <w:shd w:val="clear" w:fill="FFFFFF"/>
        </w:rPr>
        <w:t>向</w:t>
      </w:r>
      <w:r>
        <w:rPr>
          <w:rFonts w:hint="eastAsia" w:cs="方正仿宋_GB2312"/>
          <w:i w:val="0"/>
          <w:iCs w:val="0"/>
          <w:caps w:val="0"/>
          <w:color w:val="0F1115"/>
          <w:spacing w:val="0"/>
          <w:sz w:val="32"/>
          <w:szCs w:val="32"/>
          <w:shd w:val="clear" w:fill="FFFFFF"/>
          <w:lang w:eastAsia="zh-CN"/>
        </w:rPr>
        <w:t>“</w:t>
      </w:r>
      <w:r>
        <w:rPr>
          <w:rFonts w:hint="eastAsia" w:ascii="方正仿宋_GB2312" w:hAnsi="方正仿宋_GB2312" w:eastAsia="方正仿宋_GB2312" w:cs="方正仿宋_GB2312"/>
          <w:i w:val="0"/>
          <w:iCs w:val="0"/>
          <w:caps w:val="0"/>
          <w:color w:val="0F1115"/>
          <w:spacing w:val="0"/>
          <w:sz w:val="32"/>
          <w:szCs w:val="32"/>
          <w:shd w:val="clear" w:fill="FFFFFF"/>
        </w:rPr>
        <w:t>精准供给</w:t>
      </w:r>
      <w:r>
        <w:rPr>
          <w:rFonts w:hint="eastAsia" w:cs="方正仿宋_GB2312"/>
          <w:i w:val="0"/>
          <w:iCs w:val="0"/>
          <w:caps w:val="0"/>
          <w:color w:val="0F1115"/>
          <w:spacing w:val="0"/>
          <w:sz w:val="32"/>
          <w:szCs w:val="32"/>
          <w:shd w:val="clear" w:fill="FFFFFF"/>
          <w:lang w:eastAsia="zh-CN"/>
        </w:rPr>
        <w:t>”</w:t>
      </w:r>
      <w:r>
        <w:rPr>
          <w:rFonts w:hint="eastAsia" w:ascii="方正仿宋_GB2312" w:hAnsi="方正仿宋_GB2312" w:eastAsia="方正仿宋_GB2312" w:cs="方正仿宋_GB2312"/>
          <w:i w:val="0"/>
          <w:iCs w:val="0"/>
          <w:caps w:val="0"/>
          <w:color w:val="0F1115"/>
          <w:spacing w:val="0"/>
          <w:sz w:val="32"/>
          <w:szCs w:val="32"/>
          <w:shd w:val="clear" w:fill="FFFFFF"/>
        </w:rPr>
        <w:t>的战略转型。特别是在职业教育数字化转型背景下，如何构建</w:t>
      </w:r>
      <w:r>
        <w:rPr>
          <w:rStyle w:val="12"/>
          <w:rFonts w:hint="eastAsia" w:ascii="方正仿宋_GB2312" w:hAnsi="方正仿宋_GB2312" w:eastAsia="方正仿宋_GB2312" w:cs="方正仿宋_GB2312"/>
          <w:b w:val="0"/>
          <w:bCs w:val="0"/>
          <w:i w:val="0"/>
          <w:iCs w:val="0"/>
          <w:caps w:val="0"/>
          <w:color w:val="0F1115"/>
          <w:spacing w:val="0"/>
          <w:sz w:val="32"/>
          <w:szCs w:val="32"/>
          <w:shd w:val="clear" w:fill="FFFFFF"/>
        </w:rPr>
        <w:t>适配专业发展、对接产业需求</w:t>
      </w:r>
      <w:r>
        <w:rPr>
          <w:rFonts w:hint="eastAsia" w:ascii="方正仿宋_GB2312" w:hAnsi="方正仿宋_GB2312" w:eastAsia="方正仿宋_GB2312" w:cs="方正仿宋_GB2312"/>
          <w:i w:val="0"/>
          <w:iCs w:val="0"/>
          <w:caps w:val="0"/>
          <w:color w:val="0F1115"/>
          <w:spacing w:val="0"/>
          <w:sz w:val="32"/>
          <w:szCs w:val="32"/>
          <w:shd w:val="clear" w:fill="FFFFFF"/>
        </w:rPr>
        <w:t>的特色资源体系，成为我们必须破解的课题。</w:t>
      </w:r>
    </w:p>
    <w:p w14:paraId="0B0BB5A2">
      <w:pPr>
        <w:pStyle w:val="8"/>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beforeAutospacing="0" w:afterAutospacing="0"/>
        <w:ind w:left="-3" w:leftChars="0" w:right="0" w:firstLine="643" w:firstLineChars="0"/>
        <w:textAlignment w:val="auto"/>
        <w:rPr>
          <w:rFonts w:hint="eastAsia" w:ascii="方正仿宋_GB2312" w:hAnsi="方正仿宋_GB2312" w:eastAsia="方正仿宋_GB2312" w:cs="方正仿宋_GB2312"/>
          <w:i w:val="0"/>
          <w:iCs w:val="0"/>
          <w:caps w:val="0"/>
          <w:color w:val="0F1115"/>
          <w:spacing w:val="0"/>
          <w:sz w:val="32"/>
          <w:szCs w:val="32"/>
        </w:rPr>
      </w:pPr>
      <w:r>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t>服务模式的系统性重构与专业化转型</w:t>
      </w:r>
      <w:r>
        <w:rPr>
          <w:rFonts w:hint="eastAsia" w:ascii="方正仿宋_GB2312" w:hAnsi="方正仿宋_GB2312" w:eastAsia="方正仿宋_GB2312" w:cs="方正仿宋_GB2312"/>
          <w:i w:val="0"/>
          <w:iCs w:val="0"/>
          <w:caps w:val="0"/>
          <w:color w:val="0F1115"/>
          <w:spacing w:val="0"/>
          <w:sz w:val="32"/>
          <w:szCs w:val="32"/>
          <w:shd w:val="clear" w:fill="FFFFFF"/>
        </w:rPr>
        <w:br w:type="textWrapping"/>
      </w:r>
      <w:r>
        <w:rPr>
          <w:rFonts w:hint="eastAsia" w:cs="方正仿宋_GB2312"/>
          <w:i w:val="0"/>
          <w:iCs w:val="0"/>
          <w:caps w:val="0"/>
          <w:color w:val="0F1115"/>
          <w:spacing w:val="0"/>
          <w:sz w:val="32"/>
          <w:szCs w:val="32"/>
          <w:shd w:val="clear" w:fill="FFFFFF"/>
          <w:lang w:val="en-US" w:eastAsia="zh-CN"/>
        </w:rPr>
        <w:t xml:space="preserve">    </w:t>
      </w:r>
      <w:r>
        <w:rPr>
          <w:rFonts w:hint="eastAsia" w:ascii="方正仿宋_GB2312" w:hAnsi="方正仿宋_GB2312" w:eastAsia="方正仿宋_GB2312" w:cs="方正仿宋_GB2312"/>
          <w:i w:val="0"/>
          <w:iCs w:val="0"/>
          <w:caps w:val="0"/>
          <w:color w:val="0F1115"/>
          <w:spacing w:val="0"/>
          <w:sz w:val="32"/>
          <w:szCs w:val="32"/>
          <w:shd w:val="clear" w:fill="FFFFFF"/>
        </w:rPr>
        <w:t>师生需求已从传统的文献获取，</w:t>
      </w:r>
      <w:r>
        <w:rPr>
          <w:rStyle w:val="12"/>
          <w:rFonts w:hint="eastAsia" w:ascii="方正仿宋_GB2312" w:hAnsi="方正仿宋_GB2312" w:eastAsia="方正仿宋_GB2312" w:cs="方正仿宋_GB2312"/>
          <w:b w:val="0"/>
          <w:bCs w:val="0"/>
          <w:caps w:val="0"/>
          <w:color w:val="0F1115"/>
          <w:spacing w:val="0"/>
          <w:sz w:val="32"/>
          <w:szCs w:val="32"/>
          <w:shd w:val="clear" w:fill="FFFFFF"/>
        </w:rPr>
        <w:t>扩展到学科支持、科研数据服务、信息素养教育、创新实践支持、文化休闲体验等综合性、深层次服务。</w:t>
      </w:r>
      <w:r>
        <w:rPr>
          <w:rFonts w:hint="eastAsia" w:ascii="方正仿宋_GB2312" w:hAnsi="方正仿宋_GB2312" w:eastAsia="方正仿宋_GB2312" w:cs="方正仿宋_GB2312"/>
          <w:i w:val="0"/>
          <w:iCs w:val="0"/>
          <w:caps w:val="0"/>
          <w:color w:val="0F1115"/>
          <w:spacing w:val="0"/>
          <w:sz w:val="32"/>
          <w:szCs w:val="32"/>
          <w:shd w:val="clear" w:fill="FFFFFF"/>
        </w:rPr>
        <w:t>这要求我们必须突破传统的</w:t>
      </w:r>
      <w:r>
        <w:rPr>
          <w:rFonts w:hint="eastAsia" w:cs="方正仿宋_GB2312"/>
          <w:i w:val="0"/>
          <w:iCs w:val="0"/>
          <w:caps w:val="0"/>
          <w:color w:val="0F1115"/>
          <w:spacing w:val="0"/>
          <w:sz w:val="32"/>
          <w:szCs w:val="32"/>
          <w:shd w:val="clear" w:fill="FFFFFF"/>
          <w:lang w:eastAsia="zh-CN"/>
        </w:rPr>
        <w:t>“</w:t>
      </w:r>
      <w:r>
        <w:rPr>
          <w:rFonts w:hint="eastAsia" w:ascii="方正仿宋_GB2312" w:hAnsi="方正仿宋_GB2312" w:eastAsia="方正仿宋_GB2312" w:cs="方正仿宋_GB2312"/>
          <w:i w:val="0"/>
          <w:iCs w:val="0"/>
          <w:caps w:val="0"/>
          <w:color w:val="0F1115"/>
          <w:spacing w:val="0"/>
          <w:sz w:val="32"/>
          <w:szCs w:val="32"/>
          <w:shd w:val="clear" w:fill="FFFFFF"/>
        </w:rPr>
        <w:t>借还-阅览</w:t>
      </w:r>
      <w:r>
        <w:rPr>
          <w:rFonts w:hint="eastAsia" w:cs="方正仿宋_GB2312"/>
          <w:i w:val="0"/>
          <w:iCs w:val="0"/>
          <w:caps w:val="0"/>
          <w:color w:val="0F1115"/>
          <w:spacing w:val="0"/>
          <w:sz w:val="32"/>
          <w:szCs w:val="32"/>
          <w:shd w:val="clear" w:fill="FFFFFF"/>
          <w:lang w:eastAsia="zh-CN"/>
        </w:rPr>
        <w:t>”</w:t>
      </w:r>
      <w:r>
        <w:rPr>
          <w:rFonts w:hint="eastAsia" w:ascii="方正仿宋_GB2312" w:hAnsi="方正仿宋_GB2312" w:eastAsia="方正仿宋_GB2312" w:cs="方正仿宋_GB2312"/>
          <w:i w:val="0"/>
          <w:iCs w:val="0"/>
          <w:caps w:val="0"/>
          <w:color w:val="0F1115"/>
          <w:spacing w:val="0"/>
          <w:sz w:val="32"/>
          <w:szCs w:val="32"/>
          <w:shd w:val="clear" w:fill="FFFFFF"/>
        </w:rPr>
        <w:t>模式，构建</w:t>
      </w:r>
      <w:r>
        <w:rPr>
          <w:rStyle w:val="12"/>
          <w:rFonts w:hint="eastAsia" w:ascii="方正仿宋_GB2312" w:hAnsi="方正仿宋_GB2312" w:eastAsia="方正仿宋_GB2312" w:cs="方正仿宋_GB2312"/>
          <w:b w:val="0"/>
          <w:bCs w:val="0"/>
          <w:i w:val="0"/>
          <w:iCs w:val="0"/>
          <w:caps w:val="0"/>
          <w:color w:val="0F1115"/>
          <w:spacing w:val="0"/>
          <w:sz w:val="32"/>
          <w:szCs w:val="32"/>
          <w:shd w:val="clear" w:fill="FFFFFF"/>
        </w:rPr>
        <w:t>以用户为中心、以问题为导向</w:t>
      </w:r>
      <w:r>
        <w:rPr>
          <w:rFonts w:hint="eastAsia" w:ascii="方正仿宋_GB2312" w:hAnsi="方正仿宋_GB2312" w:eastAsia="方正仿宋_GB2312" w:cs="方正仿宋_GB2312"/>
          <w:i w:val="0"/>
          <w:iCs w:val="0"/>
          <w:caps w:val="0"/>
          <w:color w:val="0F1115"/>
          <w:spacing w:val="0"/>
          <w:sz w:val="32"/>
          <w:szCs w:val="32"/>
          <w:shd w:val="clear" w:fill="FFFFFF"/>
        </w:rPr>
        <w:t>的新型服务体系。具体挑战包括：如何将服务深度嵌入教学科研全过程？如何打造符合职业教育特点的</w:t>
      </w:r>
      <w:r>
        <w:rPr>
          <w:rFonts w:hint="eastAsia" w:cs="方正仿宋_GB2312"/>
          <w:i w:val="0"/>
          <w:iCs w:val="0"/>
          <w:caps w:val="0"/>
          <w:color w:val="0F1115"/>
          <w:spacing w:val="0"/>
          <w:sz w:val="32"/>
          <w:szCs w:val="32"/>
          <w:shd w:val="clear" w:fill="FFFFFF"/>
          <w:lang w:eastAsia="zh-CN"/>
        </w:rPr>
        <w:t>“</w:t>
      </w:r>
      <w:r>
        <w:rPr>
          <w:rFonts w:hint="eastAsia" w:ascii="方正仿宋_GB2312" w:hAnsi="方正仿宋_GB2312" w:eastAsia="方正仿宋_GB2312" w:cs="方正仿宋_GB2312"/>
          <w:i w:val="0"/>
          <w:iCs w:val="0"/>
          <w:caps w:val="0"/>
          <w:color w:val="0F1115"/>
          <w:spacing w:val="0"/>
          <w:sz w:val="32"/>
          <w:szCs w:val="32"/>
          <w:shd w:val="clear" w:fill="FFFFFF"/>
        </w:rPr>
        <w:t>产教融合</w:t>
      </w:r>
      <w:r>
        <w:rPr>
          <w:rFonts w:hint="eastAsia" w:cs="方正仿宋_GB2312"/>
          <w:i w:val="0"/>
          <w:iCs w:val="0"/>
          <w:caps w:val="0"/>
          <w:color w:val="0F1115"/>
          <w:spacing w:val="0"/>
          <w:sz w:val="32"/>
          <w:szCs w:val="32"/>
          <w:shd w:val="clear" w:fill="FFFFFF"/>
          <w:lang w:eastAsia="zh-CN"/>
        </w:rPr>
        <w:t>”</w:t>
      </w:r>
      <w:r>
        <w:rPr>
          <w:rFonts w:hint="eastAsia" w:ascii="方正仿宋_GB2312" w:hAnsi="方正仿宋_GB2312" w:eastAsia="方正仿宋_GB2312" w:cs="方正仿宋_GB2312"/>
          <w:i w:val="0"/>
          <w:iCs w:val="0"/>
          <w:caps w:val="0"/>
          <w:color w:val="0F1115"/>
          <w:spacing w:val="0"/>
          <w:sz w:val="32"/>
          <w:szCs w:val="32"/>
          <w:shd w:val="clear" w:fill="FFFFFF"/>
        </w:rPr>
        <w:t>服务模式？这些问题的解决需要我们在服务理念、组织架构、业务流程等方面进行系统性革新。</w:t>
      </w:r>
    </w:p>
    <w:p w14:paraId="504B8FEC">
      <w:pPr>
        <w:pStyle w:val="8"/>
        <w:keepNext w:val="0"/>
        <w:keepLines w:val="0"/>
        <w:pageBreakBefore w:val="0"/>
        <w:widowControl/>
        <w:numPr>
          <w:ilvl w:val="0"/>
          <w:numId w:val="3"/>
        </w:numPr>
        <w:suppressLineNumbers w:val="0"/>
        <w:shd w:val="clear" w:fill="FFFFFF"/>
        <w:kinsoku/>
        <w:wordWrap/>
        <w:overflowPunct/>
        <w:topLinePunct w:val="0"/>
        <w:autoSpaceDE/>
        <w:autoSpaceDN/>
        <w:bidi w:val="0"/>
        <w:adjustRightInd/>
        <w:snapToGrid/>
        <w:spacing w:beforeAutospacing="0" w:afterAutospacing="0"/>
        <w:ind w:left="-3" w:leftChars="0" w:right="0" w:rightChars="0" w:firstLine="643" w:firstLineChars="0"/>
        <w:textAlignment w:val="auto"/>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pPr>
      <w:r>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t>技术融合的深度挑战与人才队伍的升级压力</w:t>
      </w:r>
    </w:p>
    <w:p w14:paraId="4B7B2A65">
      <w:pPr>
        <w:pStyle w:val="8"/>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right="0" w:rightChars="0" w:firstLine="640" w:firstLineChars="200"/>
        <w:textAlignment w:val="auto"/>
        <w:rPr>
          <w:rStyle w:val="12"/>
          <w:rFonts w:hint="eastAsia" w:ascii="方正仿宋_GB2312" w:hAnsi="方正仿宋_GB2312" w:eastAsia="方正仿宋_GB2312" w:cs="方正仿宋_GB2312"/>
          <w:b w:val="0"/>
          <w:bCs w:val="0"/>
          <w:caps w:val="0"/>
          <w:color w:val="0F1115"/>
          <w:spacing w:val="0"/>
          <w:sz w:val="32"/>
          <w:szCs w:val="32"/>
          <w:shd w:val="clear" w:fill="FFFFFF"/>
        </w:rPr>
      </w:pPr>
      <w:r>
        <w:rPr>
          <w:rFonts w:hint="eastAsia" w:ascii="方正仿宋_GB2312" w:hAnsi="方正仿宋_GB2312" w:eastAsia="方正仿宋_GB2312" w:cs="方正仿宋_GB2312"/>
          <w:i w:val="0"/>
          <w:iCs w:val="0"/>
          <w:caps w:val="0"/>
          <w:color w:val="0F1115"/>
          <w:spacing w:val="0"/>
          <w:sz w:val="32"/>
          <w:szCs w:val="32"/>
          <w:shd w:val="clear" w:fill="FFFFFF"/>
        </w:rPr>
        <w:t>在智慧图书馆建设进程中，我们面临着</w:t>
      </w:r>
      <w:r>
        <w:rPr>
          <w:rStyle w:val="12"/>
          <w:rFonts w:hint="eastAsia" w:ascii="方正仿宋_GB2312" w:hAnsi="方正仿宋_GB2312" w:eastAsia="方正仿宋_GB2312" w:cs="方正仿宋_GB2312"/>
          <w:b w:val="0"/>
          <w:bCs w:val="0"/>
          <w:i w:val="0"/>
          <w:iCs w:val="0"/>
          <w:caps w:val="0"/>
          <w:color w:val="0F1115"/>
          <w:spacing w:val="0"/>
          <w:sz w:val="32"/>
          <w:szCs w:val="32"/>
          <w:shd w:val="clear" w:fill="FFFFFF"/>
        </w:rPr>
        <w:t>技术迭代加速与基础建设滞后</w:t>
      </w:r>
      <w:r>
        <w:rPr>
          <w:rFonts w:hint="eastAsia" w:ascii="方正仿宋_GB2312" w:hAnsi="方正仿宋_GB2312" w:eastAsia="方正仿宋_GB2312" w:cs="方正仿宋_GB2312"/>
          <w:i w:val="0"/>
          <w:iCs w:val="0"/>
          <w:caps w:val="0"/>
          <w:color w:val="0F1115"/>
          <w:spacing w:val="0"/>
          <w:sz w:val="32"/>
          <w:szCs w:val="32"/>
          <w:shd w:val="clear" w:fill="FFFFFF"/>
        </w:rPr>
        <w:t>的矛盾。</w:t>
      </w:r>
      <w:r>
        <w:rPr>
          <w:rStyle w:val="12"/>
          <w:rFonts w:hint="eastAsia" w:ascii="方正仿宋_GB2312" w:hAnsi="方正仿宋_GB2312" w:eastAsia="方正仿宋_GB2312" w:cs="方正仿宋_GB2312"/>
          <w:b w:val="0"/>
          <w:bCs w:val="0"/>
          <w:caps w:val="0"/>
          <w:color w:val="0F1115"/>
          <w:spacing w:val="0"/>
          <w:sz w:val="32"/>
          <w:szCs w:val="32"/>
          <w:shd w:val="clear" w:fill="FFFFFF"/>
        </w:rPr>
        <w:t>系统互联互通不足、数据共享存在壁垒、服务智能化水平有待提升等问题依然存在</w:t>
      </w:r>
      <w:r>
        <w:rPr>
          <w:rFonts w:hint="eastAsia" w:ascii="方正仿宋_GB2312" w:hAnsi="方正仿宋_GB2312" w:eastAsia="方正仿宋_GB2312" w:cs="方正仿宋_GB2312"/>
          <w:i w:val="0"/>
          <w:iCs w:val="0"/>
          <w:caps w:val="0"/>
          <w:color w:val="0F1115"/>
          <w:spacing w:val="0"/>
          <w:sz w:val="32"/>
          <w:szCs w:val="32"/>
          <w:shd w:val="clear" w:fill="FFFFFF"/>
        </w:rPr>
        <w:t>。特别是在</w:t>
      </w:r>
      <w:r>
        <w:rPr>
          <w:rStyle w:val="12"/>
          <w:rFonts w:hint="eastAsia" w:ascii="方正仿宋_GB2312" w:hAnsi="方正仿宋_GB2312" w:eastAsia="方正仿宋_GB2312" w:cs="方正仿宋_GB2312"/>
          <w:b w:val="0"/>
          <w:bCs w:val="0"/>
          <w:i w:val="0"/>
          <w:iCs w:val="0"/>
          <w:caps w:val="0"/>
          <w:color w:val="0F1115"/>
          <w:spacing w:val="0"/>
          <w:sz w:val="32"/>
          <w:szCs w:val="32"/>
          <w:shd w:val="clear" w:fill="FFFFFF"/>
        </w:rPr>
        <w:t>大数据分析、人工智能应用、数字孪生技术</w:t>
      </w:r>
      <w:r>
        <w:rPr>
          <w:rFonts w:hint="eastAsia" w:ascii="方正仿宋_GB2312" w:hAnsi="方正仿宋_GB2312" w:eastAsia="方正仿宋_GB2312" w:cs="方正仿宋_GB2312"/>
          <w:i w:val="0"/>
          <w:iCs w:val="0"/>
          <w:caps w:val="0"/>
          <w:color w:val="0F1115"/>
          <w:spacing w:val="0"/>
          <w:sz w:val="32"/>
          <w:szCs w:val="32"/>
          <w:shd w:val="clear" w:fill="FFFFFF"/>
        </w:rPr>
        <w:t>等前沿领域，我们的实践仍处于探索阶段。与此同时，技术变革对馆员队伍提出了前所未有的要求：需要既懂图书馆学又熟悉信息技术的复合型人才；需要具备学科背景能够开展深度知识服务的专业型人才；需要善于创新敢于突破的开拓型人才。当前，馆员队伍的</w:t>
      </w:r>
      <w:r>
        <w:rPr>
          <w:rStyle w:val="12"/>
          <w:rFonts w:hint="eastAsia" w:ascii="方正仿宋_GB2312" w:hAnsi="方正仿宋_GB2312" w:eastAsia="方正仿宋_GB2312" w:cs="方正仿宋_GB2312"/>
          <w:b w:val="0"/>
          <w:bCs w:val="0"/>
          <w:i w:val="0"/>
          <w:iCs w:val="0"/>
          <w:caps w:val="0"/>
          <w:color w:val="0F1115"/>
          <w:spacing w:val="0"/>
          <w:sz w:val="32"/>
          <w:szCs w:val="32"/>
          <w:shd w:val="clear" w:fill="FFFFFF"/>
        </w:rPr>
        <w:t>知识结构更新速度、技术创新应用能力、服务转型适应能力</w:t>
      </w:r>
      <w:r>
        <w:rPr>
          <w:rFonts w:hint="eastAsia" w:ascii="方正仿宋_GB2312" w:hAnsi="方正仿宋_GB2312" w:eastAsia="方正仿宋_GB2312" w:cs="方正仿宋_GB2312"/>
          <w:i w:val="0"/>
          <w:iCs w:val="0"/>
          <w:caps w:val="0"/>
          <w:color w:val="0F1115"/>
          <w:spacing w:val="0"/>
          <w:sz w:val="32"/>
          <w:szCs w:val="32"/>
          <w:shd w:val="clear" w:fill="FFFFFF"/>
        </w:rPr>
        <w:t>都需要进一步提升，人才队伍建设成为影响未来发展的关键变量。</w:t>
      </w:r>
    </w:p>
    <w:p w14:paraId="17B18DD3">
      <w:pPr>
        <w:pStyle w:val="4"/>
        <w:bidi w:val="0"/>
        <w:rPr>
          <w:rFonts w:hint="eastAsia"/>
          <w:lang w:val="en-US" w:eastAsia="zh-CN"/>
        </w:rPr>
      </w:pPr>
      <w:bookmarkStart w:id="19" w:name="_Toc9152"/>
      <w:r>
        <w:rPr>
          <w:rFonts w:hint="eastAsia"/>
          <w:lang w:val="en-US" w:eastAsia="zh-CN"/>
        </w:rPr>
        <w:t>（二）2026年工作展望：在创新中实现跨越</w:t>
      </w:r>
      <w:bookmarkEnd w:id="19"/>
    </w:p>
    <w:p w14:paraId="402A375A">
      <w:pPr>
        <w:pStyle w:val="8"/>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640" w:leftChars="0" w:right="0" w:rightChars="0"/>
        <w:textAlignment w:val="auto"/>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pPr>
      <w:r>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t>1. 资源提质，构建协同共享的文献保障体系</w:t>
      </w:r>
    </w:p>
    <w:p w14:paraId="4B8AE9CA">
      <w:pPr>
        <w:pStyle w:val="8"/>
        <w:keepNext w:val="0"/>
        <w:keepLines w:val="0"/>
        <w:widowControl/>
        <w:suppressLineNumbers w:val="0"/>
        <w:spacing w:before="0" w:beforeAutospacing="0" w:after="0" w:afterAutospacing="0"/>
        <w:ind w:left="0"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cs="方正仿宋_GB2312"/>
          <w:b w:val="0"/>
          <w:bCs w:val="0"/>
          <w:caps w:val="0"/>
          <w:color w:val="0F1115"/>
          <w:spacing w:val="0"/>
          <w:kern w:val="2"/>
          <w:sz w:val="32"/>
          <w:szCs w:val="32"/>
          <w:shd w:val="clear" w:fill="FFFFFF"/>
          <w:lang w:val="en-US" w:eastAsia="zh-CN" w:bidi="ar-SA"/>
        </w:rPr>
        <w:t>（1）</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精准化资源建设机制</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建立</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需求</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采购</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评估</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闭环管理体系。</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继续深化“你荐书，我买单”服务，通过微信公众号、图书馆官网、荐书征集簿等线上线下方式开展常态化读者荐购；紧密对接学校重点专业建设与教学科研需求，</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结合各学院专业建设规划，</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科学制定资源采购计划；</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依托</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现有</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数据分析读者利用行为，制定差异化的资源采购策略</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；健全用户反馈机制，做好读者满意度调查；全年计划采购纸质图书不少于</w:t>
      </w:r>
      <w:r>
        <w:rPr>
          <w:rStyle w:val="12"/>
          <w:rFonts w:hint="eastAsia" w:cs="方正仿宋_GB2312"/>
          <w:b w:val="0"/>
          <w:bCs w:val="0"/>
          <w:caps w:val="0"/>
          <w:color w:val="0F1115"/>
          <w:spacing w:val="0"/>
          <w:kern w:val="2"/>
          <w:sz w:val="32"/>
          <w:szCs w:val="32"/>
          <w:shd w:val="clear" w:fill="FFFFFF"/>
          <w:lang w:val="en-US" w:eastAsia="zh-CN" w:bidi="ar-SA"/>
        </w:rPr>
        <w:t>6</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万册，电子图书不少于7</w:t>
      </w:r>
      <w:r>
        <w:rPr>
          <w:rStyle w:val="12"/>
          <w:rFonts w:hint="eastAsia" w:cs="方正仿宋_GB2312"/>
          <w:b w:val="0"/>
          <w:bCs w:val="0"/>
          <w:caps w:val="0"/>
          <w:color w:val="0F1115"/>
          <w:spacing w:val="0"/>
          <w:kern w:val="2"/>
          <w:sz w:val="32"/>
          <w:szCs w:val="32"/>
          <w:shd w:val="clear" w:fill="FFFFFF"/>
          <w:lang w:val="en-US" w:eastAsia="zh-CN" w:bidi="ar-SA"/>
        </w:rPr>
        <w:t>.5</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万册，</w:t>
      </w:r>
      <w:r>
        <w:rPr>
          <w:rStyle w:val="12"/>
          <w:rFonts w:hint="eastAsia" w:cs="方正仿宋_GB2312"/>
          <w:b w:val="0"/>
          <w:bCs w:val="0"/>
          <w:caps w:val="0"/>
          <w:color w:val="0F1115"/>
          <w:spacing w:val="0"/>
          <w:kern w:val="2"/>
          <w:sz w:val="32"/>
          <w:szCs w:val="32"/>
          <w:shd w:val="clear" w:fill="FFFFFF"/>
          <w:lang w:val="en-US" w:eastAsia="zh-CN" w:bidi="ar-SA"/>
        </w:rPr>
        <w:t>继续优化</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电子资源</w:t>
      </w:r>
      <w:r>
        <w:rPr>
          <w:rStyle w:val="12"/>
          <w:rFonts w:hint="eastAsia" w:cs="方正仿宋_GB2312"/>
          <w:b w:val="0"/>
          <w:bCs w:val="0"/>
          <w:caps w:val="0"/>
          <w:color w:val="0F1115"/>
          <w:spacing w:val="0"/>
          <w:kern w:val="2"/>
          <w:sz w:val="32"/>
          <w:szCs w:val="32"/>
          <w:shd w:val="clear" w:fill="FFFFFF"/>
          <w:lang w:val="en-US" w:eastAsia="zh-CN" w:bidi="ar-SA"/>
        </w:rPr>
        <w:t>结构</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w:t>
      </w:r>
    </w:p>
    <w:p w14:paraId="11BD35D3">
      <w:pPr>
        <w:pStyle w:val="8"/>
        <w:keepNext w:val="0"/>
        <w:keepLines w:val="0"/>
        <w:widowControl/>
        <w:suppressLineNumbers w:val="0"/>
        <w:spacing w:before="0" w:beforeAutospacing="0" w:after="0" w:afterAutospacing="0"/>
        <w:ind w:left="0" w:right="0" w:firstLine="640" w:firstLineChars="200"/>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cs="方正仿宋_GB2312"/>
          <w:b w:val="0"/>
          <w:bCs w:val="0"/>
          <w:caps w:val="0"/>
          <w:color w:val="0F1115"/>
          <w:spacing w:val="0"/>
          <w:kern w:val="2"/>
          <w:sz w:val="32"/>
          <w:szCs w:val="32"/>
          <w:shd w:val="clear" w:fill="FFFFFF"/>
          <w:lang w:val="en-US" w:eastAsia="zh-CN" w:bidi="ar-SA"/>
        </w:rPr>
        <w:t>（2）</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前瞻性知识库建设探索</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启动“济职特色知识库体系”建设的前期论证与筹备工作。计划于2026年完成顶层设计，构建以 “济职学术成果库” （系统整合本校师生的学术论文、优秀毕业设计、竞赛作品等智力成果）和 “区域产业案例库” （联合本地龙头企业，收集、整理典型生产技术案例与工艺流程）为核心的特色资源体系</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，打造具有辨识度的馆藏资源品牌。2026</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年度将重点开展项目可行性研究、元数据标准制定、合作模式调研及初步资源征集，为后续长期、系统的数据库开发与内容建设奠定坚实基础。</w:t>
      </w:r>
    </w:p>
    <w:p w14:paraId="1197E7E3">
      <w:pPr>
        <w:ind w:firstLine="640" w:firstLineChars="200"/>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cs="方正仿宋_GB2312"/>
          <w:b w:val="0"/>
          <w:bCs w:val="0"/>
          <w:caps w:val="0"/>
          <w:color w:val="0F1115"/>
          <w:spacing w:val="0"/>
          <w:kern w:val="2"/>
          <w:sz w:val="32"/>
          <w:szCs w:val="32"/>
          <w:shd w:val="clear" w:fill="FFFFFF"/>
          <w:lang w:val="en-US" w:eastAsia="zh-CN" w:bidi="ar-SA"/>
        </w:rPr>
        <w:t>（3）</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协同化服务网络建设</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以“资源互通、服务联动”为目标，系统规划三校区馆藏布局与人员配置。</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一方面，优化物理服务网络，探索构建以</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三个</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校区</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图书馆</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为</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核心、</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校内各院系及馆外服务点为延伸的 “主馆+分馆+服务点”三级协同服务体系，通过定期流通与预约借阅机制，打通资源服务的“最后一公里”。另一方面，升级数字服务门户，着力完善图书馆统一检索平台，提升纸电资源的一站式发现与获取体验。</w:t>
      </w:r>
    </w:p>
    <w:p w14:paraId="258A3DFB">
      <w:pPr>
        <w:pStyle w:val="8"/>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640" w:leftChars="0" w:right="0" w:rightChars="0"/>
        <w:textAlignment w:val="auto"/>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pPr>
      <w:r>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t>2. 空间再造，打造泛在化学习支持体系</w:t>
      </w:r>
    </w:p>
    <w:p w14:paraId="24A4F512">
      <w:pPr>
        <w:ind w:firstLine="640" w:firstLineChars="200"/>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cs="方正仿宋_GB2312"/>
          <w:b w:val="0"/>
          <w:bCs w:val="0"/>
          <w:caps w:val="0"/>
          <w:color w:val="0F1115"/>
          <w:spacing w:val="0"/>
          <w:kern w:val="2"/>
          <w:sz w:val="32"/>
          <w:szCs w:val="32"/>
          <w:shd w:val="clear" w:fill="FFFFFF"/>
          <w:lang w:val="en-US" w:eastAsia="zh-CN" w:bidi="ar-SA"/>
        </w:rPr>
        <w:t>（1）</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学习空间功能升级</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全力推进并按期启用高新校区二楼书库与阅览区，规划建设阅读座位</w:t>
      </w:r>
      <w:r>
        <w:rPr>
          <w:rStyle w:val="12"/>
          <w:rFonts w:hint="eastAsia" w:cs="方正仿宋_GB2312"/>
          <w:b w:val="0"/>
          <w:bCs w:val="0"/>
          <w:caps w:val="0"/>
          <w:color w:val="0F1115"/>
          <w:spacing w:val="0"/>
          <w:kern w:val="2"/>
          <w:sz w:val="32"/>
          <w:szCs w:val="32"/>
          <w:highlight w:val="none"/>
          <w:shd w:val="clear" w:fill="FFFFFF"/>
          <w:lang w:val="en-US" w:eastAsia="zh-CN" w:bidi="ar-SA"/>
        </w:rPr>
        <w:t>300</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个，配置藏书</w:t>
      </w:r>
      <w:r>
        <w:rPr>
          <w:rStyle w:val="12"/>
          <w:rFonts w:hint="eastAsia" w:cs="方正仿宋_GB2312"/>
          <w:b w:val="0"/>
          <w:bCs w:val="0"/>
          <w:caps w:val="0"/>
          <w:color w:val="0F1115"/>
          <w:spacing w:val="0"/>
          <w:kern w:val="2"/>
          <w:sz w:val="32"/>
          <w:szCs w:val="32"/>
          <w:highlight w:val="none"/>
          <w:shd w:val="clear" w:fill="FFFFFF"/>
          <w:lang w:val="en-US" w:eastAsia="zh-CN" w:bidi="ar-SA"/>
        </w:rPr>
        <w:t>5万</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册。空间内将部署RFID智能图书管理、触摸屏会议一体机、自助借还终端等现代化设施，着力打造集开放阅览、小组协作、静心研修于一体的复合型学习空间。同时，规划在二楼及以上楼层布局多主题研讨间与休闲阅览区，配备可移动桌椅、多媒体显示与网络会议设备，满足师生小组讨论、学术交流与休闲阅读的多样化需求，逐步构建支持自主学习与协作探究的现代化学习环境。</w:t>
      </w:r>
    </w:p>
    <w:p w14:paraId="52FC4771">
      <w:pPr>
        <w:pStyle w:val="8"/>
        <w:keepNext w:val="0"/>
        <w:keepLines w:val="0"/>
        <w:widowControl/>
        <w:suppressLineNumbers w:val="0"/>
        <w:spacing w:before="0" w:beforeAutospacing="0" w:after="0" w:afterAutospacing="0"/>
        <w:ind w:left="0"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cs="方正仿宋_GB2312"/>
          <w:b w:val="0"/>
          <w:bCs w:val="0"/>
          <w:caps w:val="0"/>
          <w:color w:val="0F1115"/>
          <w:spacing w:val="0"/>
          <w:kern w:val="2"/>
          <w:sz w:val="32"/>
          <w:szCs w:val="32"/>
          <w:shd w:val="clear" w:fill="FFFFFF"/>
          <w:lang w:val="en-US" w:eastAsia="zh-CN" w:bidi="ar-SA"/>
        </w:rPr>
        <w:t>（2）</w:t>
      </w:r>
      <w:r>
        <w:rPr>
          <w:rStyle w:val="12"/>
          <w:rFonts w:hint="default"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空间服务模式创新</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以提升空间利用率与用户体验为核心，系统推进服务机制优化。一是升级空间管理体系，完善线上预约平台功能，探索建立跨校区学习空间共享预约机制，提高资源利用效率。</w:t>
      </w:r>
      <w:r>
        <w:rPr>
          <w:rStyle w:val="12"/>
          <w:rFonts w:hint="eastAsia" w:cs="方正仿宋_GB2312"/>
          <w:b w:val="0"/>
          <w:bCs w:val="0"/>
          <w:caps w:val="0"/>
          <w:color w:val="0F1115"/>
          <w:spacing w:val="0"/>
          <w:kern w:val="2"/>
          <w:sz w:val="32"/>
          <w:szCs w:val="32"/>
          <w:shd w:val="clear" w:fill="FFFFFF"/>
          <w:lang w:val="en-US" w:eastAsia="zh-CN" w:bidi="ar-SA"/>
        </w:rPr>
        <w:t>二</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是建立空间使用指导机制，通过新生入馆教育、专题讲解、使用指南推送等方式，帮助师生更充分、更有效地利用各类学习空间。</w:t>
      </w:r>
      <w:r>
        <w:rPr>
          <w:rStyle w:val="12"/>
          <w:rFonts w:hint="eastAsia" w:cs="方正仿宋_GB2312"/>
          <w:b w:val="0"/>
          <w:bCs w:val="0"/>
          <w:caps w:val="0"/>
          <w:color w:val="0F1115"/>
          <w:spacing w:val="0"/>
          <w:kern w:val="2"/>
          <w:sz w:val="32"/>
          <w:szCs w:val="32"/>
          <w:shd w:val="clear" w:fill="FFFFFF"/>
          <w:lang w:val="en-US" w:eastAsia="zh-CN" w:bidi="ar-SA"/>
        </w:rPr>
        <w:t>三</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是深化空间育人功能融合，将文化空间、阅读空间与课程思政、校园文化进行有机结合，使空间不仅成为学习场所，更成为文化浸润、思想引领的重要载体。</w:t>
      </w:r>
    </w:p>
    <w:p w14:paraId="14E1CB4B">
      <w:pPr>
        <w:pStyle w:val="8"/>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640" w:leftChars="0" w:right="0" w:rightChars="0"/>
        <w:textAlignment w:val="auto"/>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pPr>
      <w:r>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t>3. 服务升级，构建协同育人服务体系</w:t>
      </w:r>
    </w:p>
    <w:p w14:paraId="2E7E28A7">
      <w:pPr>
        <w:pStyle w:val="8"/>
        <w:keepNext w:val="0"/>
        <w:keepLines w:val="0"/>
        <w:widowControl/>
        <w:suppressLineNumbers w:val="0"/>
        <w:spacing w:before="0" w:beforeAutospacing="0" w:after="0" w:afterAutospacing="0"/>
        <w:ind w:left="0"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（1）深化品牌服务，延伸思政育人内涵</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立足现有“图书馆里的思政课”等品牌基础，推进服务内涵的纵向深化与横向拓展。一方面，积极与马克思主义学院等教学单位对接，探索共建思政教育资源协作机制，深入挖掘馆藏与数字资源中的育人素材，为课程思政提供文献支撑。另一方面，持续策划“书香里的党史”“经典中的中国”等系列主题活动，并探索将其融入新生入馆教育、读书节等常规活动中，全年计划开展相关主题活动不少于</w:t>
      </w:r>
      <w:r>
        <w:rPr>
          <w:rStyle w:val="12"/>
          <w:rFonts w:hint="eastAsia" w:cs="方正仿宋_GB2312"/>
          <w:b w:val="0"/>
          <w:bCs w:val="0"/>
          <w:caps w:val="0"/>
          <w:color w:val="0F1115"/>
          <w:spacing w:val="0"/>
          <w:kern w:val="2"/>
          <w:sz w:val="32"/>
          <w:szCs w:val="32"/>
          <w:highlight w:val="none"/>
          <w:shd w:val="clear" w:fill="FFFFFF"/>
          <w:lang w:val="en-US" w:eastAsia="zh-CN" w:bidi="ar-SA"/>
        </w:rPr>
        <w:t>50</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场，强化图书馆的文化引领与价值塑造功能。</w:t>
      </w:r>
    </w:p>
    <w:p w14:paraId="070B85CC">
      <w:pPr>
        <w:pStyle w:val="8"/>
        <w:keepNext w:val="0"/>
        <w:keepLines w:val="0"/>
        <w:widowControl/>
        <w:suppressLineNumbers w:val="0"/>
        <w:spacing w:before="0" w:beforeAutospacing="0" w:after="0" w:afterAutospacing="0"/>
        <w:ind w:left="0"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（2）探索学科联络，提升专业服务水平</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启动学科馆员制度的初步探索，尝试为重点专业或二级学院建立常态化的联络渠道。初期以提供资源荐购咨询、学科信息推送、基础文献检索指导等服务为主，逐步积累嵌入式服务的经验。计划在部分条件成熟的学院开展试点合作，探索将信息素养教育融入专业课程的可行模式，为未来构建系统化的学科服务体系奠定基础。</w:t>
      </w:r>
    </w:p>
    <w:p w14:paraId="0AD7BB70">
      <w:pPr>
        <w:pStyle w:val="8"/>
        <w:keepNext w:val="0"/>
        <w:keepLines w:val="0"/>
        <w:widowControl/>
        <w:suppressLineNumbers w:val="0"/>
        <w:spacing w:before="0" w:beforeAutospacing="0" w:after="0" w:afterAutospacing="0"/>
        <w:ind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（3）夯实信息素养教育基础</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系统规划信息素养教育工作，着力构建面向不同层次需求的常态化教学体系。持续优化面向新生的入馆教育培训，并计划开设系列信息检索公共选修课或专题讲座。积极组织学生参与校内外信息素养竞赛，以赛促学，提升师生信息获取与利用能力。同时，加强馆员自身的信息素养培训，为高质量的教育服务提供保障。</w:t>
      </w:r>
    </w:p>
    <w:p w14:paraId="20041F5E">
      <w:pPr>
        <w:pStyle w:val="8"/>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640" w:leftChars="0" w:right="0" w:rightChars="0"/>
        <w:textAlignment w:val="auto"/>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pPr>
      <w:r>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t>4. 队伍强基，打造专业化馆员团队</w:t>
      </w:r>
    </w:p>
    <w:p w14:paraId="7A8106D0">
      <w:pPr>
        <w:pStyle w:val="8"/>
        <w:keepNext w:val="0"/>
        <w:keepLines w:val="0"/>
        <w:widowControl/>
        <w:suppressLineNumbers w:val="0"/>
        <w:spacing w:before="0" w:beforeAutospacing="0" w:after="0" w:afterAutospacing="0"/>
        <w:ind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（1）分层分类实施能力提升计划</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以“馆员素养提升工程”为总抓手，针对管理、技术、服务等不同岗位序列，制定差异化、系统化的年度培训方案。计划通过邀请专家讲座、组织业务研讨、开展岗位练兵等专题培训不少于</w:t>
      </w:r>
      <w:r>
        <w:rPr>
          <w:rStyle w:val="12"/>
          <w:rFonts w:hint="eastAsia" w:cs="方正仿宋_GB2312"/>
          <w:b w:val="0"/>
          <w:bCs w:val="0"/>
          <w:caps w:val="0"/>
          <w:color w:val="0F1115"/>
          <w:spacing w:val="0"/>
          <w:kern w:val="2"/>
          <w:sz w:val="32"/>
          <w:szCs w:val="32"/>
          <w:shd w:val="clear" w:fill="FFFFFF"/>
          <w:lang w:val="en-US" w:eastAsia="zh-CN" w:bidi="ar-SA"/>
        </w:rPr>
        <w:t>10</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次，并外派馆员参与行业交流与专业进修不少于20人次，着力提升队伍的综合业务素质与专业化服务水平。</w:t>
      </w:r>
    </w:p>
    <w:p w14:paraId="681C5BFE">
      <w:pPr>
        <w:pStyle w:val="8"/>
        <w:keepNext w:val="0"/>
        <w:keepLines w:val="0"/>
        <w:widowControl/>
        <w:suppressLineNumbers w:val="0"/>
        <w:spacing w:before="0" w:beforeAutospacing="0" w:after="0" w:afterAutospacing="0"/>
        <w:ind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pP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（2）系统推进团队文化与机制建设</w:t>
      </w:r>
      <w:r>
        <w:rPr>
          <w:rStyle w:val="12"/>
          <w:rFonts w:hint="eastAsia" w:cs="方正仿宋_GB2312"/>
          <w:b w:val="0"/>
          <w:bCs w:val="0"/>
          <w:caps w:val="0"/>
          <w:color w:val="0F1115"/>
          <w:spacing w:val="0"/>
          <w:kern w:val="2"/>
          <w:sz w:val="32"/>
          <w:szCs w:val="32"/>
          <w:shd w:val="clear" w:fill="FFFFFF"/>
          <w:lang w:val="en-US" w:eastAsia="zh-CN" w:bidi="ar-SA"/>
        </w:rPr>
        <w:t>。</w:t>
      </w: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着力营造“学习型、服务型、创新型”的组织文化。通过定期举办馆员业务技能竞赛、开展“最美馆员”评选等活动，树立标杆，激发内生动力。同步建立健全馆员职业生涯发展指导机制，完善个人成长档案，关注馆员的长期发展与价值实现，从而增强团队的归属感、凝聚力与专业荣誉感。</w:t>
      </w:r>
    </w:p>
    <w:p w14:paraId="122BCED3">
      <w:pPr>
        <w:pStyle w:val="8"/>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640" w:leftChars="0" w:right="0" w:rightChars="0"/>
        <w:textAlignment w:val="auto"/>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pPr>
      <w:r>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t>5.</w:t>
      </w:r>
      <w:r>
        <w:rPr>
          <w:rFonts w:hint="default" w:ascii="方正仿宋_GB2312" w:hAnsi="方正仿宋_GB2312" w:eastAsia="方正仿宋_GB2312" w:cs="方正仿宋_GB2312"/>
          <w:b/>
          <w:bCs/>
          <w:i w:val="0"/>
          <w:iCs w:val="0"/>
          <w:caps w:val="0"/>
          <w:color w:val="0F1115"/>
          <w:spacing w:val="0"/>
          <w:sz w:val="32"/>
          <w:szCs w:val="32"/>
          <w:shd w:val="clear" w:fill="FFFFFF"/>
          <w:lang w:val="en-US" w:eastAsia="zh-CN"/>
        </w:rPr>
        <w:t>管理增效，完善现代化治理体系</w:t>
      </w:r>
    </w:p>
    <w:p w14:paraId="7DBFD723">
      <w:pPr>
        <w:pStyle w:val="8"/>
        <w:keepNext w:val="0"/>
        <w:keepLines w:val="0"/>
        <w:widowControl/>
        <w:suppressLineNumbers w:val="0"/>
        <w:spacing w:before="0" w:beforeAutospacing="0" w:after="0" w:afterAutospacing="0"/>
        <w:ind w:left="0"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pPr>
      <w:r>
        <w:rPr>
          <w:rStyle w:val="12"/>
          <w:rFonts w:hint="eastAsia" w:cs="方正仿宋_GB2312"/>
          <w:b w:val="0"/>
          <w:bCs w:val="0"/>
          <w:caps w:val="0"/>
          <w:color w:val="0F1115"/>
          <w:spacing w:val="0"/>
          <w:kern w:val="2"/>
          <w:sz w:val="32"/>
          <w:szCs w:val="32"/>
          <w:highlight w:val="none"/>
          <w:shd w:val="clear" w:fill="FFFFFF"/>
          <w:lang w:val="en-US" w:eastAsia="zh-CN" w:bidi="ar-SA"/>
        </w:rPr>
        <w:t>（1）</w:t>
      </w:r>
      <w:r>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制度体系优化</w:t>
      </w:r>
      <w:r>
        <w:rPr>
          <w:rStyle w:val="12"/>
          <w:rFonts w:hint="eastAsia" w:cs="方正仿宋_GB2312"/>
          <w:b w:val="0"/>
          <w:bCs w:val="0"/>
          <w:caps w:val="0"/>
          <w:color w:val="0F1115"/>
          <w:spacing w:val="0"/>
          <w:kern w:val="2"/>
          <w:sz w:val="32"/>
          <w:szCs w:val="32"/>
          <w:highlight w:val="none"/>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修订完善图书馆各项管理制度，编制《图书馆服务标准手册》。建立服务质量监督机制，定期开展读者满意度调查，及时改进服务中存在的问题。</w:t>
      </w:r>
    </w:p>
    <w:p w14:paraId="08FBFFAA">
      <w:pPr>
        <w:pStyle w:val="8"/>
        <w:keepNext w:val="0"/>
        <w:keepLines w:val="0"/>
        <w:widowControl/>
        <w:suppressLineNumbers w:val="0"/>
        <w:spacing w:before="0" w:beforeAutospacing="0" w:after="0" w:afterAutospacing="0"/>
        <w:ind w:left="0"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pPr>
      <w:r>
        <w:rPr>
          <w:rStyle w:val="12"/>
          <w:rFonts w:hint="eastAsia" w:cs="方正仿宋_GB2312"/>
          <w:b w:val="0"/>
          <w:bCs w:val="0"/>
          <w:caps w:val="0"/>
          <w:color w:val="0F1115"/>
          <w:spacing w:val="0"/>
          <w:kern w:val="2"/>
          <w:sz w:val="32"/>
          <w:szCs w:val="32"/>
          <w:highlight w:val="none"/>
          <w:shd w:val="clear" w:fill="FFFFFF"/>
          <w:lang w:val="en-US" w:eastAsia="zh-CN" w:bidi="ar-SA"/>
        </w:rPr>
        <w:t>（2）</w:t>
      </w:r>
      <w:r>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安全体系建设</w:t>
      </w:r>
      <w:r>
        <w:rPr>
          <w:rStyle w:val="12"/>
          <w:rFonts w:hint="eastAsia" w:cs="方正仿宋_GB2312"/>
          <w:b w:val="0"/>
          <w:bCs w:val="0"/>
          <w:caps w:val="0"/>
          <w:color w:val="0F1115"/>
          <w:spacing w:val="0"/>
          <w:kern w:val="2"/>
          <w:sz w:val="32"/>
          <w:szCs w:val="32"/>
          <w:highlight w:val="none"/>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完善图书馆安全管理预案，加强网络安全、数据安全、消防安全管理。定期开展安全演练，提高应急处置能力。确保馆藏资源安全、读者人身安全、系统运行安全。</w:t>
      </w:r>
    </w:p>
    <w:p w14:paraId="3FDD090E">
      <w:pPr>
        <w:pStyle w:val="8"/>
        <w:keepNext w:val="0"/>
        <w:keepLines w:val="0"/>
        <w:widowControl/>
        <w:suppressLineNumbers w:val="0"/>
        <w:spacing w:before="0" w:beforeAutospacing="0" w:after="0" w:afterAutospacing="0"/>
        <w:ind w:left="0" w:right="0" w:firstLine="640" w:firstLineChars="200"/>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pPr>
      <w:r>
        <w:rPr>
          <w:rStyle w:val="12"/>
          <w:rFonts w:hint="eastAsia" w:cs="方正仿宋_GB2312"/>
          <w:b w:val="0"/>
          <w:bCs w:val="0"/>
          <w:caps w:val="0"/>
          <w:color w:val="0F1115"/>
          <w:spacing w:val="0"/>
          <w:kern w:val="2"/>
          <w:sz w:val="32"/>
          <w:szCs w:val="32"/>
          <w:highlight w:val="none"/>
          <w:shd w:val="clear" w:fill="FFFFFF"/>
          <w:lang w:val="en-US" w:eastAsia="zh-CN" w:bidi="ar-SA"/>
        </w:rPr>
        <w:t>（3）</w:t>
      </w:r>
      <w:r>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对外合作拓展：加强与省内外兄弟院校图书馆的交流合作，积极参与河南省高校图工委各项活动。深化与</w:t>
      </w:r>
      <w:r>
        <w:rPr>
          <w:rStyle w:val="12"/>
          <w:rFonts w:hint="eastAsia" w:cs="方正仿宋_GB2312"/>
          <w:b w:val="0"/>
          <w:bCs w:val="0"/>
          <w:caps w:val="0"/>
          <w:color w:val="0F1115"/>
          <w:spacing w:val="0"/>
          <w:kern w:val="2"/>
          <w:sz w:val="32"/>
          <w:szCs w:val="32"/>
          <w:highlight w:val="none"/>
          <w:shd w:val="clear" w:fill="FFFFFF"/>
          <w:lang w:val="en-US" w:eastAsia="zh-CN" w:bidi="ar-SA"/>
        </w:rPr>
        <w:t>文化馆、博物馆等公共文化服务</w:t>
      </w:r>
      <w:r>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机构的合作，实现资源共享、优势互补。</w:t>
      </w:r>
    </w:p>
    <w:p w14:paraId="31704EA5">
      <w:pPr>
        <w:pStyle w:val="8"/>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640" w:leftChars="0" w:right="0" w:rightChars="0"/>
        <w:textAlignment w:val="auto"/>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pPr>
      <w:r>
        <w:rPr>
          <w:rFonts w:hint="eastAsia" w:ascii="方正仿宋_GB2312" w:hAnsi="方正仿宋_GB2312" w:eastAsia="方正仿宋_GB2312" w:cs="方正仿宋_GB2312"/>
          <w:b/>
          <w:bCs/>
          <w:i w:val="0"/>
          <w:iCs w:val="0"/>
          <w:caps w:val="0"/>
          <w:color w:val="0F1115"/>
          <w:spacing w:val="0"/>
          <w:sz w:val="32"/>
          <w:szCs w:val="32"/>
          <w:shd w:val="clear" w:fill="FFFFFF"/>
          <w:lang w:val="en-US" w:eastAsia="zh-CN"/>
        </w:rPr>
        <w:t>6.强化责任担当，圆满完成各项指令性工作任务</w:t>
      </w:r>
    </w:p>
    <w:p w14:paraId="5096429E">
      <w:pPr>
        <w:pStyle w:val="8"/>
        <w:keepNext w:val="0"/>
        <w:keepLines w:val="0"/>
        <w:widowControl/>
        <w:suppressLineNumbers w:val="0"/>
        <w:spacing w:before="0" w:beforeAutospacing="0" w:after="0" w:afterAutospacing="0"/>
        <w:ind w:left="0" w:right="0" w:firstLine="640" w:firstLineChars="200"/>
        <w:rPr>
          <w:rStyle w:val="12"/>
          <w:rFonts w:hint="eastAsia"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pPr>
      <w:r>
        <w:rPr>
          <w:rStyle w:val="12"/>
          <w:rFonts w:hint="eastAsia" w:ascii="方正仿宋_GB2312" w:hAnsi="方正仿宋_GB2312" w:eastAsia="方正仿宋_GB2312" w:cs="方正仿宋_GB2312"/>
          <w:b w:val="0"/>
          <w:bCs w:val="0"/>
          <w:caps w:val="0"/>
          <w:color w:val="0F1115"/>
          <w:spacing w:val="0"/>
          <w:kern w:val="2"/>
          <w:sz w:val="32"/>
          <w:szCs w:val="32"/>
          <w:shd w:val="clear" w:fill="FFFFFF"/>
          <w:lang w:val="en-US" w:eastAsia="zh-CN" w:bidi="ar-SA"/>
        </w:rPr>
        <w:t>坚决贯彻落实学校党委、行政及上级主管部门的各项决策部署，保质保量完成相关工作任务，确保图书馆事业与学</w:t>
      </w:r>
      <w:r>
        <w:rPr>
          <w:rStyle w:val="12"/>
          <w:rFonts w:hint="eastAsia"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校及区域发展同频共振。</w:t>
      </w:r>
    </w:p>
    <w:p w14:paraId="7C11DE26">
      <w:pPr>
        <w:pStyle w:val="8"/>
        <w:keepNext w:val="0"/>
        <w:keepLines w:val="0"/>
        <w:widowControl/>
        <w:suppressLineNumbers w:val="0"/>
        <w:spacing w:before="0" w:beforeAutospacing="0" w:after="0" w:afterAutospacing="0"/>
        <w:ind w:left="0" w:right="0" w:firstLine="640" w:firstLineChars="200"/>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pPr>
      <w:r>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2026年</w:t>
      </w:r>
      <w:r>
        <w:rPr>
          <w:rStyle w:val="12"/>
          <w:rFonts w:hint="eastAsia" w:cs="方正仿宋_GB2312"/>
          <w:b w:val="0"/>
          <w:bCs w:val="0"/>
          <w:caps w:val="0"/>
          <w:color w:val="0F1115"/>
          <w:spacing w:val="0"/>
          <w:kern w:val="2"/>
          <w:sz w:val="32"/>
          <w:szCs w:val="32"/>
          <w:highlight w:val="none"/>
          <w:shd w:val="clear" w:fill="FFFFFF"/>
          <w:lang w:val="en-US" w:eastAsia="zh-CN" w:bidi="ar-SA"/>
        </w:rPr>
        <w:t>，</w:t>
      </w:r>
      <w:r>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我们将</w:t>
      </w:r>
      <w:r>
        <w:rPr>
          <w:rStyle w:val="12"/>
          <w:rFonts w:hint="eastAsia" w:cs="方正仿宋_GB2312"/>
          <w:b w:val="0"/>
          <w:bCs w:val="0"/>
          <w:caps w:val="0"/>
          <w:color w:val="0F1115"/>
          <w:spacing w:val="0"/>
          <w:kern w:val="2"/>
          <w:sz w:val="32"/>
          <w:szCs w:val="32"/>
          <w:highlight w:val="none"/>
          <w:shd w:val="clear" w:fill="FFFFFF"/>
          <w:lang w:val="en-US" w:eastAsia="zh-CN" w:bidi="ar-SA"/>
        </w:rPr>
        <w:t>继续</w:t>
      </w:r>
      <w:r>
        <w:rPr>
          <w:rStyle w:val="12"/>
          <w:rFonts w:hint="default" w:ascii="方正仿宋_GB2312" w:hAnsi="方正仿宋_GB2312" w:eastAsia="方正仿宋_GB2312" w:cs="方正仿宋_GB2312"/>
          <w:b w:val="0"/>
          <w:bCs w:val="0"/>
          <w:caps w:val="0"/>
          <w:color w:val="0F1115"/>
          <w:spacing w:val="0"/>
          <w:kern w:val="2"/>
          <w:sz w:val="32"/>
          <w:szCs w:val="32"/>
          <w:highlight w:val="none"/>
          <w:shd w:val="clear" w:fill="FFFFFF"/>
          <w:lang w:val="en-US" w:eastAsia="zh-CN" w:bidi="ar-SA"/>
        </w:rPr>
        <w:t>以服务学校高质量发展为主线，以提升师生获得感为根本，以改革创新为动力，扎实推进各项重点工作。我们坚信，在学校党委的正确领导下，在全体馆员的共同努力下，图书馆一定能够克服困难，迎接挑战，为建设特色鲜明的高水平职业大学做出新的更大贡献！</w:t>
      </w:r>
    </w:p>
    <w:p w14:paraId="3D2AC2E1">
      <w:pPr>
        <w:bidi w:val="0"/>
        <w:rPr>
          <w:rStyle w:val="12"/>
          <w:rFonts w:hint="default" w:ascii="黑体" w:hAnsi="黑体" w:eastAsia="黑体" w:cs="黑体"/>
          <w:bCs/>
          <w:caps w:val="0"/>
          <w:color w:val="0F1115"/>
          <w:spacing w:val="0"/>
          <w:kern w:val="0"/>
          <w:sz w:val="32"/>
          <w:szCs w:val="32"/>
          <w:shd w:val="clear" w:fill="FFFFFF"/>
          <w:lang w:val="en-US" w:eastAsia="zh-CN" w:bidi="ar"/>
        </w:rPr>
      </w:pPr>
    </w:p>
    <w:p w14:paraId="05719BEC">
      <w:pPr>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89DCC49-F252-4200-8AE6-956A82699DE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2" w:fontKey="{724742BA-8C69-431D-877A-113CE8FFB649}"/>
  </w:font>
  <w:font w:name="方正公文小标宋">
    <w:panose1 w:val="02000500000000000000"/>
    <w:charset w:val="86"/>
    <w:family w:val="auto"/>
    <w:pitch w:val="default"/>
    <w:sig w:usb0="A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embedRegular r:id="rId3" w:fontKey="{F6A44F4A-1738-49A7-8E53-A1791A066860}"/>
  </w:font>
  <w:font w:name="mn-cs">
    <w:altName w:val="Segoe Print"/>
    <w:panose1 w:val="00000000000000000000"/>
    <w:charset w:val="00"/>
    <w:family w:val="auto"/>
    <w:pitch w:val="default"/>
    <w:sig w:usb0="00000000" w:usb1="00000000" w:usb2="00000000" w:usb3="00000000" w:csb0="00000000" w:csb1="00000000"/>
    <w:embedRegular r:id="rId4" w:fontKey="{EC1DF5A6-B87D-4A30-BC30-C9353F7C894D}"/>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auto"/>
    <w:pitch w:val="default"/>
    <w:sig w:usb0="00000000" w:usb1="00000000" w:usb2="00000000" w:usb3="00000000" w:csb0="00040000" w:csb1="00000000"/>
    <w:embedRegular r:id="rId5" w:fontKey="{24AE0D88-C203-4D2E-B05B-D2C6B170DE00}"/>
  </w:font>
  <w:font w:name="Segoe UI">
    <w:panose1 w:val="020B0502040204020203"/>
    <w:charset w:val="00"/>
    <w:family w:val="auto"/>
    <w:pitch w:val="default"/>
    <w:sig w:usb0="E10022FF" w:usb1="C000E47F" w:usb2="00000029" w:usb3="00000000" w:csb0="200001DF" w:csb1="20000000"/>
    <w:embedRegular r:id="rId6" w:fontKey="{A2C2F4A0-C7CF-4F13-8A4B-6BC97EF857B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23972"/>
    <w:multiLevelType w:val="singleLevel"/>
    <w:tmpl w:val="9F823972"/>
    <w:lvl w:ilvl="0" w:tentative="0">
      <w:start w:val="1"/>
      <w:numFmt w:val="decimal"/>
      <w:suff w:val="space"/>
      <w:lvlText w:val="%1."/>
      <w:lvlJc w:val="left"/>
      <w:pPr>
        <w:ind w:left="-3"/>
      </w:pPr>
      <w:rPr>
        <w:rFonts w:hint="default"/>
        <w:b/>
        <w:bCs/>
      </w:rPr>
    </w:lvl>
  </w:abstractNum>
  <w:abstractNum w:abstractNumId="1">
    <w:nsid w:val="52A2E463"/>
    <w:multiLevelType w:val="singleLevel"/>
    <w:tmpl w:val="52A2E463"/>
    <w:lvl w:ilvl="0" w:tentative="0">
      <w:start w:val="1"/>
      <w:numFmt w:val="decimal"/>
      <w:suff w:val="space"/>
      <w:lvlText w:val="%1."/>
      <w:lvlJc w:val="left"/>
    </w:lvl>
  </w:abstractNum>
  <w:abstractNum w:abstractNumId="2">
    <w:nsid w:val="54474616"/>
    <w:multiLevelType w:val="singleLevel"/>
    <w:tmpl w:val="54474616"/>
    <w:lvl w:ilvl="0" w:tentative="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94FFB"/>
    <w:rsid w:val="00E91C9E"/>
    <w:rsid w:val="00FC02BF"/>
    <w:rsid w:val="018E4255"/>
    <w:rsid w:val="01AD0A07"/>
    <w:rsid w:val="01D10127"/>
    <w:rsid w:val="01DB2E0E"/>
    <w:rsid w:val="03773C2D"/>
    <w:rsid w:val="03A33962"/>
    <w:rsid w:val="03AE3AF3"/>
    <w:rsid w:val="04C66C1A"/>
    <w:rsid w:val="04E533D3"/>
    <w:rsid w:val="054162A1"/>
    <w:rsid w:val="05DA0A26"/>
    <w:rsid w:val="06581AF4"/>
    <w:rsid w:val="0659586C"/>
    <w:rsid w:val="06A42F8B"/>
    <w:rsid w:val="06CB49BC"/>
    <w:rsid w:val="08730E67"/>
    <w:rsid w:val="08FB0A38"/>
    <w:rsid w:val="0908116D"/>
    <w:rsid w:val="09273A00"/>
    <w:rsid w:val="09B039F5"/>
    <w:rsid w:val="09D41DD9"/>
    <w:rsid w:val="0A6749FB"/>
    <w:rsid w:val="0A7C069C"/>
    <w:rsid w:val="0B442ECB"/>
    <w:rsid w:val="0BFC5617"/>
    <w:rsid w:val="0C526355"/>
    <w:rsid w:val="0C863F12"/>
    <w:rsid w:val="0CE560AB"/>
    <w:rsid w:val="0E15476E"/>
    <w:rsid w:val="0F3D5D2B"/>
    <w:rsid w:val="0F557518"/>
    <w:rsid w:val="103709CC"/>
    <w:rsid w:val="11496C09"/>
    <w:rsid w:val="11ED2C9D"/>
    <w:rsid w:val="135950FD"/>
    <w:rsid w:val="141C6857"/>
    <w:rsid w:val="148D32B1"/>
    <w:rsid w:val="14CE4FD7"/>
    <w:rsid w:val="14CF1B1B"/>
    <w:rsid w:val="15335AEB"/>
    <w:rsid w:val="160A2DA0"/>
    <w:rsid w:val="16137701"/>
    <w:rsid w:val="1626576B"/>
    <w:rsid w:val="16AE750E"/>
    <w:rsid w:val="176302F9"/>
    <w:rsid w:val="177B64D0"/>
    <w:rsid w:val="17F50708"/>
    <w:rsid w:val="18463EA2"/>
    <w:rsid w:val="196D36B1"/>
    <w:rsid w:val="19840CD4"/>
    <w:rsid w:val="1A387619"/>
    <w:rsid w:val="1A98475D"/>
    <w:rsid w:val="1AC45552"/>
    <w:rsid w:val="1B193AF0"/>
    <w:rsid w:val="1B1F6C2C"/>
    <w:rsid w:val="1B697EA8"/>
    <w:rsid w:val="1BB72D63"/>
    <w:rsid w:val="1BE614F8"/>
    <w:rsid w:val="1C75091E"/>
    <w:rsid w:val="1D3C4A05"/>
    <w:rsid w:val="1D526E45"/>
    <w:rsid w:val="1DA43419"/>
    <w:rsid w:val="1E7B6870"/>
    <w:rsid w:val="1F0757B7"/>
    <w:rsid w:val="1F120F82"/>
    <w:rsid w:val="1F9B4659"/>
    <w:rsid w:val="1FB931AC"/>
    <w:rsid w:val="200224D8"/>
    <w:rsid w:val="20253260"/>
    <w:rsid w:val="202A22FB"/>
    <w:rsid w:val="202C5296"/>
    <w:rsid w:val="213F1DD6"/>
    <w:rsid w:val="21E64000"/>
    <w:rsid w:val="21E87D78"/>
    <w:rsid w:val="21ED538F"/>
    <w:rsid w:val="227E06DD"/>
    <w:rsid w:val="22812619"/>
    <w:rsid w:val="229C0B63"/>
    <w:rsid w:val="22CF718A"/>
    <w:rsid w:val="22E83DA8"/>
    <w:rsid w:val="234611FA"/>
    <w:rsid w:val="251A293E"/>
    <w:rsid w:val="252B4B4C"/>
    <w:rsid w:val="26B91CE3"/>
    <w:rsid w:val="26C54B2C"/>
    <w:rsid w:val="26C73247"/>
    <w:rsid w:val="270B65FE"/>
    <w:rsid w:val="27380F95"/>
    <w:rsid w:val="276854B7"/>
    <w:rsid w:val="279E3717"/>
    <w:rsid w:val="27F751B9"/>
    <w:rsid w:val="284F6DA3"/>
    <w:rsid w:val="289A51D2"/>
    <w:rsid w:val="28CF3A40"/>
    <w:rsid w:val="28EC16F7"/>
    <w:rsid w:val="29CA4207"/>
    <w:rsid w:val="2A32072A"/>
    <w:rsid w:val="2A88659C"/>
    <w:rsid w:val="2AC51081"/>
    <w:rsid w:val="2AC84BEB"/>
    <w:rsid w:val="2BCA6741"/>
    <w:rsid w:val="2C9E20A7"/>
    <w:rsid w:val="2DC01BA9"/>
    <w:rsid w:val="2DC23B73"/>
    <w:rsid w:val="2E170E54"/>
    <w:rsid w:val="2E5073D1"/>
    <w:rsid w:val="2EAA04DC"/>
    <w:rsid w:val="2F3A3BDD"/>
    <w:rsid w:val="2FAC4ADB"/>
    <w:rsid w:val="306D3728"/>
    <w:rsid w:val="31295CB7"/>
    <w:rsid w:val="31C61758"/>
    <w:rsid w:val="32A73338"/>
    <w:rsid w:val="330C763F"/>
    <w:rsid w:val="330E785B"/>
    <w:rsid w:val="33D309A5"/>
    <w:rsid w:val="34225BE4"/>
    <w:rsid w:val="34784F8C"/>
    <w:rsid w:val="353A5FA1"/>
    <w:rsid w:val="35CB558F"/>
    <w:rsid w:val="35F805A0"/>
    <w:rsid w:val="36184505"/>
    <w:rsid w:val="361D1D53"/>
    <w:rsid w:val="36B97ADD"/>
    <w:rsid w:val="372431A9"/>
    <w:rsid w:val="3757357E"/>
    <w:rsid w:val="37AC04C3"/>
    <w:rsid w:val="37DE77FC"/>
    <w:rsid w:val="38961E84"/>
    <w:rsid w:val="38964E23"/>
    <w:rsid w:val="389B78F6"/>
    <w:rsid w:val="3A4B4EF0"/>
    <w:rsid w:val="3A5F274A"/>
    <w:rsid w:val="3AB74334"/>
    <w:rsid w:val="3ADA3FAA"/>
    <w:rsid w:val="3B60677A"/>
    <w:rsid w:val="3B64270E"/>
    <w:rsid w:val="3B8013C1"/>
    <w:rsid w:val="3B892174"/>
    <w:rsid w:val="3BA725FA"/>
    <w:rsid w:val="3BCA18D6"/>
    <w:rsid w:val="3BF07AFD"/>
    <w:rsid w:val="3C780106"/>
    <w:rsid w:val="3E646581"/>
    <w:rsid w:val="3F141D55"/>
    <w:rsid w:val="40175FA1"/>
    <w:rsid w:val="42413449"/>
    <w:rsid w:val="42957651"/>
    <w:rsid w:val="42980EEF"/>
    <w:rsid w:val="42AE426E"/>
    <w:rsid w:val="42D261AF"/>
    <w:rsid w:val="432C7863"/>
    <w:rsid w:val="43741014"/>
    <w:rsid w:val="43F263DD"/>
    <w:rsid w:val="447B7AE0"/>
    <w:rsid w:val="447E358A"/>
    <w:rsid w:val="44F56185"/>
    <w:rsid w:val="453A003B"/>
    <w:rsid w:val="454E63BB"/>
    <w:rsid w:val="45C041D4"/>
    <w:rsid w:val="46FC6139"/>
    <w:rsid w:val="471C6754"/>
    <w:rsid w:val="47EA3F9B"/>
    <w:rsid w:val="482F1BCE"/>
    <w:rsid w:val="48411CDE"/>
    <w:rsid w:val="494F67AB"/>
    <w:rsid w:val="49A62C56"/>
    <w:rsid w:val="4A6A13C3"/>
    <w:rsid w:val="4ADD7DE7"/>
    <w:rsid w:val="4C681932"/>
    <w:rsid w:val="4C9D50C7"/>
    <w:rsid w:val="4CE4545C"/>
    <w:rsid w:val="4D803739"/>
    <w:rsid w:val="4F075432"/>
    <w:rsid w:val="4F593EE7"/>
    <w:rsid w:val="4FBA6063"/>
    <w:rsid w:val="51D13AD5"/>
    <w:rsid w:val="523D0E4F"/>
    <w:rsid w:val="524C0BFE"/>
    <w:rsid w:val="52C32E44"/>
    <w:rsid w:val="52D7336D"/>
    <w:rsid w:val="52F77CF4"/>
    <w:rsid w:val="53915C12"/>
    <w:rsid w:val="53EA0E7E"/>
    <w:rsid w:val="54F048B0"/>
    <w:rsid w:val="558548FA"/>
    <w:rsid w:val="5741351C"/>
    <w:rsid w:val="580C1D0B"/>
    <w:rsid w:val="587B479B"/>
    <w:rsid w:val="59B05959"/>
    <w:rsid w:val="5A0E063A"/>
    <w:rsid w:val="5A9D4E9D"/>
    <w:rsid w:val="5C115B42"/>
    <w:rsid w:val="5C3D3DCE"/>
    <w:rsid w:val="5C6043D4"/>
    <w:rsid w:val="5CC76201"/>
    <w:rsid w:val="5D8E1863"/>
    <w:rsid w:val="5E9A1E1F"/>
    <w:rsid w:val="5E9D0554"/>
    <w:rsid w:val="5EE72B8A"/>
    <w:rsid w:val="5F0C25F1"/>
    <w:rsid w:val="5F4A628C"/>
    <w:rsid w:val="5FA34D03"/>
    <w:rsid w:val="5FBA3DFB"/>
    <w:rsid w:val="5FEB2206"/>
    <w:rsid w:val="60CC7193"/>
    <w:rsid w:val="611352DC"/>
    <w:rsid w:val="61616C24"/>
    <w:rsid w:val="6186668A"/>
    <w:rsid w:val="621041A6"/>
    <w:rsid w:val="635D2132"/>
    <w:rsid w:val="64964E36"/>
    <w:rsid w:val="64CA0F84"/>
    <w:rsid w:val="65AB4911"/>
    <w:rsid w:val="65AE7F5E"/>
    <w:rsid w:val="662F2879"/>
    <w:rsid w:val="666C2F1D"/>
    <w:rsid w:val="66CF2882"/>
    <w:rsid w:val="67274411"/>
    <w:rsid w:val="68563063"/>
    <w:rsid w:val="68BA116D"/>
    <w:rsid w:val="68EE0C40"/>
    <w:rsid w:val="69237E7A"/>
    <w:rsid w:val="695D5F23"/>
    <w:rsid w:val="6A3273AF"/>
    <w:rsid w:val="6A67567A"/>
    <w:rsid w:val="6A6B4794"/>
    <w:rsid w:val="6ADF0BB9"/>
    <w:rsid w:val="6C1B6A73"/>
    <w:rsid w:val="6C64581A"/>
    <w:rsid w:val="6CE93F71"/>
    <w:rsid w:val="6E1B63AC"/>
    <w:rsid w:val="6F773AB6"/>
    <w:rsid w:val="6F795A80"/>
    <w:rsid w:val="6FBD7B2B"/>
    <w:rsid w:val="70717D58"/>
    <w:rsid w:val="70AB3C7D"/>
    <w:rsid w:val="70DC1E23"/>
    <w:rsid w:val="71153587"/>
    <w:rsid w:val="71257BB5"/>
    <w:rsid w:val="71594B6E"/>
    <w:rsid w:val="715D7F5D"/>
    <w:rsid w:val="71B763EC"/>
    <w:rsid w:val="72112D60"/>
    <w:rsid w:val="72F01BB6"/>
    <w:rsid w:val="73B9644B"/>
    <w:rsid w:val="74256F86"/>
    <w:rsid w:val="74983C5A"/>
    <w:rsid w:val="74C66D2B"/>
    <w:rsid w:val="75056629"/>
    <w:rsid w:val="764B4D7F"/>
    <w:rsid w:val="76AC7B4F"/>
    <w:rsid w:val="77A411C1"/>
    <w:rsid w:val="77F40FB7"/>
    <w:rsid w:val="781C51FB"/>
    <w:rsid w:val="785B5D23"/>
    <w:rsid w:val="78D87374"/>
    <w:rsid w:val="79DA711C"/>
    <w:rsid w:val="7A631102"/>
    <w:rsid w:val="7AFE6E3A"/>
    <w:rsid w:val="7C1A5EF5"/>
    <w:rsid w:val="7C5C765F"/>
    <w:rsid w:val="7C6D4269"/>
    <w:rsid w:val="7C951A24"/>
    <w:rsid w:val="7CA823A0"/>
    <w:rsid w:val="7CAC1243"/>
    <w:rsid w:val="7D3038A0"/>
    <w:rsid w:val="7D782ED3"/>
    <w:rsid w:val="7E394D59"/>
    <w:rsid w:val="7EA45F4A"/>
    <w:rsid w:val="7EAD12A3"/>
    <w:rsid w:val="7FB81CAD"/>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方正仿宋_GB2312" w:hAnsi="方正仿宋_GB2312" w:eastAsia="方正仿宋_GB2312" w:cs="方正仿宋_GB2312"/>
      <w:kern w:val="2"/>
      <w:sz w:val="32"/>
      <w:szCs w:val="3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方正仿宋_GB2312" w:hAnsi="方正仿宋_GB2312" w:eastAsia="方正公文小标宋" w:cs="方正仿宋_GB2312"/>
      <w:kern w:val="44"/>
      <w:sz w:val="44"/>
      <w:szCs w:val="32"/>
    </w:rPr>
  </w:style>
  <w:style w:type="paragraph" w:styleId="3">
    <w:name w:val="heading 2"/>
    <w:basedOn w:val="1"/>
    <w:next w:val="1"/>
    <w:unhideWhenUsed/>
    <w:qFormat/>
    <w:uiPriority w:val="0"/>
    <w:pPr>
      <w:keepNext/>
      <w:keepLines/>
      <w:spacing w:beforeLines="0" w:beforeAutospacing="0" w:afterLines="0" w:afterAutospacing="0" w:line="240" w:lineRule="auto"/>
      <w:outlineLvl w:val="1"/>
    </w:pPr>
    <w:rPr>
      <w:rFonts w:ascii="Arial" w:hAnsi="Arial" w:eastAsia="黑体"/>
    </w:rPr>
  </w:style>
  <w:style w:type="paragraph" w:styleId="4">
    <w:name w:val="heading 3"/>
    <w:basedOn w:val="1"/>
    <w:next w:val="1"/>
    <w:unhideWhenUsed/>
    <w:qFormat/>
    <w:uiPriority w:val="0"/>
    <w:pPr>
      <w:spacing w:before="0" w:beforeAutospacing="0" w:after="0" w:afterAutospacing="0"/>
      <w:jc w:val="left"/>
      <w:outlineLvl w:val="2"/>
    </w:pPr>
    <w:rPr>
      <w:rFonts w:hint="eastAsia" w:ascii="宋体" w:hAnsi="宋体" w:eastAsia="楷体" w:cs="宋体"/>
      <w:bCs/>
      <w:kern w:val="0"/>
      <w:szCs w:val="27"/>
      <w:lang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toc 2"/>
    <w:basedOn w:val="1"/>
    <w:next w:val="1"/>
    <w:qFormat/>
    <w:uiPriority w:val="0"/>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chart" Target="charts/chart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Lenovo\Desktop\&#26032;&#22686;&#25991;&#29486;&#21015;&#34920;.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[新增文献列表.csv]Sheet1!$B$1</c:f>
              <c:strCache>
                <c:ptCount val="1"/>
                <c:pt idx="0">
                  <c:v>购买册数</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Lbl>
              <c:idx val="0"/>
              <c:layout>
                <c:manualLayout>
                  <c:x val="0.035217970683419"/>
                  <c:y val="-0.0478011472275335"/>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388961321164711"/>
                  <c:y val="0.00256027309579688"/>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488917861799218"/>
                  <c:y val="0.012374653296351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564971751412429"/>
                  <c:y val="-0.00746746319607425"/>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877879182963929"/>
                  <c:y val="0.022189033496906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915906127770535"/>
                  <c:y val="0.029656496692980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9"/>
              <c:layout>
                <c:manualLayout>
                  <c:x val="0.0475880052151239"/>
                  <c:y val="0.0032249989194275"/>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0"/>
              <c:layout>
                <c:manualLayout>
                  <c:x val="0.0440072612632603"/>
                  <c:y val="0.096578102811527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1"/>
              <c:layout>
                <c:manualLayout>
                  <c:x val="-0.000717848942592194"/>
                  <c:y val="0.13958628499723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2"/>
              <c:layout>
                <c:manualLayout>
                  <c:x val="-0.0618601005546964"/>
                  <c:y val="0.13475252529167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3"/>
              <c:layout>
                <c:manualLayout>
                  <c:x val="-0.0833984851519626"/>
                  <c:y val="0.04322153827702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4"/>
              <c:layout>
                <c:manualLayout>
                  <c:x val="-0.132885510756751"/>
                  <c:y val="-0.024602445803269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5"/>
              <c:layout>
                <c:manualLayout>
                  <c:x val="0.00749674054758801"/>
                  <c:y val="-0.012374653296351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7"/>
              <c:layout>
                <c:manualLayout>
                  <c:x val="-0.0927857453281182"/>
                  <c:y val="0.076168124599957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8"/>
              <c:layout>
                <c:manualLayout>
                  <c:x val="-0.145382001865948"/>
                  <c:y val="0.072229807763306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9"/>
              <c:layout>
                <c:manualLayout>
                  <c:x val="-0.111708377481446"/>
                  <c:y val="0.01728184339662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6423294219904"/>
                      <c:h val="0.15916364412204"/>
                    </c:manualLayout>
                  </c15:layout>
                </c:ext>
              </c:extLst>
            </c:dLbl>
            <c:dLbl>
              <c:idx val="20"/>
              <c:layout>
                <c:manualLayout>
                  <c:x val="-0.0555686066023985"/>
                  <c:y val="0.00256027309579688"/>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0712795549374131"/>
                      <c:h val="0.139756047136655"/>
                    </c:manualLayout>
                  </c15:layout>
                </c:ext>
              </c:extLst>
            </c:dLbl>
            <c:dLbl>
              <c:idx val="21"/>
              <c:layout>
                <c:manualLayout>
                  <c:x val="0.00666285931848468"/>
                  <c:y val="-0.0452241558421677"/>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[新增文献列表.csv]Sheet1!$A$2:$A$23</c:f>
              <c:strCache>
                <c:ptCount val="22"/>
                <c:pt idx="0">
                  <c:v>A类</c:v>
                </c:pt>
                <c:pt idx="1">
                  <c:v>B类</c:v>
                </c:pt>
                <c:pt idx="2">
                  <c:v>C类</c:v>
                </c:pt>
                <c:pt idx="3">
                  <c:v>D类</c:v>
                </c:pt>
                <c:pt idx="4">
                  <c:v>E类</c:v>
                </c:pt>
                <c:pt idx="5">
                  <c:v>F类</c:v>
                </c:pt>
                <c:pt idx="6">
                  <c:v>G类</c:v>
                </c:pt>
                <c:pt idx="7">
                  <c:v>H类</c:v>
                </c:pt>
                <c:pt idx="8">
                  <c:v>I类</c:v>
                </c:pt>
                <c:pt idx="9">
                  <c:v>J类</c:v>
                </c:pt>
                <c:pt idx="10">
                  <c:v>K类</c:v>
                </c:pt>
                <c:pt idx="11">
                  <c:v>N类</c:v>
                </c:pt>
                <c:pt idx="12">
                  <c:v>O类</c:v>
                </c:pt>
                <c:pt idx="13">
                  <c:v>P类</c:v>
                </c:pt>
                <c:pt idx="14">
                  <c:v>Q类</c:v>
                </c:pt>
                <c:pt idx="15">
                  <c:v>R类</c:v>
                </c:pt>
                <c:pt idx="16">
                  <c:v>S类</c:v>
                </c:pt>
                <c:pt idx="17">
                  <c:v>T类</c:v>
                </c:pt>
                <c:pt idx="18">
                  <c:v>U类</c:v>
                </c:pt>
                <c:pt idx="19">
                  <c:v>V类</c:v>
                </c:pt>
                <c:pt idx="20">
                  <c:v>X类</c:v>
                </c:pt>
                <c:pt idx="21">
                  <c:v>Z类</c:v>
                </c:pt>
              </c:strCache>
            </c:strRef>
          </c:cat>
          <c:val>
            <c:numRef>
              <c:f>[新增文献列表.csv]Sheet1!$B$2:$B$23</c:f>
              <c:numCache>
                <c:formatCode>General</c:formatCode>
                <c:ptCount val="22"/>
                <c:pt idx="0">
                  <c:v>565</c:v>
                </c:pt>
                <c:pt idx="1">
                  <c:v>2721</c:v>
                </c:pt>
                <c:pt idx="2">
                  <c:v>901</c:v>
                </c:pt>
                <c:pt idx="3">
                  <c:v>2127</c:v>
                </c:pt>
                <c:pt idx="4">
                  <c:v>372</c:v>
                </c:pt>
                <c:pt idx="5">
                  <c:v>3635</c:v>
                </c:pt>
                <c:pt idx="6">
                  <c:v>2913</c:v>
                </c:pt>
                <c:pt idx="7">
                  <c:v>1111</c:v>
                </c:pt>
                <c:pt idx="8">
                  <c:v>16787</c:v>
                </c:pt>
                <c:pt idx="9">
                  <c:v>2875</c:v>
                </c:pt>
                <c:pt idx="10">
                  <c:v>3338</c:v>
                </c:pt>
                <c:pt idx="11">
                  <c:v>214</c:v>
                </c:pt>
                <c:pt idx="12">
                  <c:v>640</c:v>
                </c:pt>
                <c:pt idx="13">
                  <c:v>382</c:v>
                </c:pt>
                <c:pt idx="14">
                  <c:v>291</c:v>
                </c:pt>
                <c:pt idx="15">
                  <c:v>5161</c:v>
                </c:pt>
                <c:pt idx="16">
                  <c:v>215</c:v>
                </c:pt>
                <c:pt idx="17">
                  <c:v>9849</c:v>
                </c:pt>
                <c:pt idx="18">
                  <c:v>1200</c:v>
                </c:pt>
                <c:pt idx="19">
                  <c:v>164</c:v>
                </c:pt>
                <c:pt idx="20">
                  <c:v>161</c:v>
                </c:pt>
                <c:pt idx="21">
                  <c:v>381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918521094112193"/>
          <c:y val="0.0425883812280339"/>
          <c:w val="0.0691933240611961"/>
          <c:h val="0.9512094273309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72d7c2ea-799b-40c1-bd85-3becdb953330}"/>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4882</Words>
  <Characters>5086</Characters>
  <Lines>0</Lines>
  <Paragraphs>0</Paragraphs>
  <TotalTime>1</TotalTime>
  <ScaleCrop>false</ScaleCrop>
  <LinksUpToDate>false</LinksUpToDate>
  <CharactersWithSpaces>5198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2025-11-19T06:45:00Z</dcterms:created>
  <dc:creator>Lenovo</dc:creator>
  <cp:lastModifiedBy>常炜</cp:lastModifiedBy>
  <dcterms:modified xsi:type="dcterms:W3CDTF">2026-04-08T03:37:05Z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B3B4DBF9EF784506A6C0A719EA156D52_12</vt:lpwstr>
  </property>
  <property fmtid="{D5CDD505-2E9C-101B-9397-08002B2CF9AE}" pid="4" name="KSOTemplateDocerSaveRecord">
    <vt:lpwstr>eyJoZGlkIjoiMmVkOWEyYTVjYjVkY2VjNjFkNTUwZWMxOTUxMTZmMjQiLCJ1c2VySWQiOiIxNjI5ODk4Njc5In0=</vt:lpwstr>
  </property>
</Properties>
</file>